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9153" w14:textId="77777777" w:rsidR="00056510" w:rsidRDefault="0075373D">
      <w:pPr>
        <w:pStyle w:val="Title"/>
      </w:pPr>
      <w:r>
        <w:t>Numerical Analysis Qual Exam (Fall 2015)</w:t>
      </w:r>
    </w:p>
    <w:p w14:paraId="6ECC3EE8" w14:textId="77777777" w:rsidR="00056510" w:rsidRDefault="0075373D">
      <w:pPr>
        <w:pStyle w:val="FirstParagraph"/>
      </w:pPr>
      <w:bookmarkStart w:id="0" w:name="numerical-analysis-qual-exam-fall-2015"/>
      <w:bookmarkStart w:id="1" w:name="main-content"/>
      <w:proofErr w:type="gramStart"/>
      <w:r>
        <w:t>All problems</w:t>
      </w:r>
      <w:proofErr w:type="gramEnd"/>
      <w:r>
        <w:t xml:space="preserve"> are 10 </w:t>
      </w:r>
      <w:proofErr w:type="gramStart"/>
      <w:r>
        <w:t>points</w:t>
      </w:r>
      <w:proofErr w:type="gramEnd"/>
      <w:r>
        <w:t xml:space="preserve"> each.</w:t>
      </w:r>
    </w:p>
    <w:p w14:paraId="2C964F6E" w14:textId="77777777" w:rsidR="00056510" w:rsidRDefault="0075373D">
      <w:pPr>
        <w:pStyle w:val="Heading2"/>
      </w:pPr>
      <w:bookmarkStart w:id="2" w:name="problems"/>
      <w:r>
        <w:t>Problems</w:t>
      </w:r>
    </w:p>
    <w:p w14:paraId="1D720043" w14:textId="77777777" w:rsidR="00056510" w:rsidRDefault="0075373D">
      <w:pPr>
        <w:pStyle w:val="Compact"/>
        <w:numPr>
          <w:ilvl w:val="0"/>
          <w:numId w:val="2"/>
        </w:numPr>
      </w:pPr>
      <w:r>
        <w:t xml:space="preserve">Both polynomials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 have a root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. However, the errors between two consecutive Newton’s iterations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sup>
            </m:sSubSup>
          </m:e>
        </m:d>
      </m:oMath>
      <w:r>
        <w:t xml:space="preserve">,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 with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1.2</m:t>
        </m:r>
      </m:oMath>
      <w:r>
        <w:t xml:space="preserve"> are shown in the following table for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</m:oMath>
      <w:r>
        <w:t xml:space="preserve">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  <w:r>
        <w:t>:</w:t>
      </w:r>
    </w:p>
    <w:tbl>
      <w:tblPr>
        <w:tblStyle w:val="Table"/>
        <w:tblW w:w="0" w:type="auto"/>
        <w:tblInd w:w="720" w:type="dxa"/>
        <w:tblLook w:val="0020" w:firstRow="1" w:lastRow="0" w:firstColumn="0" w:lastColumn="0" w:noHBand="0" w:noVBand="0"/>
      </w:tblPr>
      <w:tblGrid>
        <w:gridCol w:w="746"/>
        <w:gridCol w:w="1469"/>
        <w:gridCol w:w="1469"/>
        <w:gridCol w:w="1469"/>
        <w:gridCol w:w="1469"/>
        <w:gridCol w:w="1469"/>
      </w:tblGrid>
      <w:tr w:rsidR="00056510" w14:paraId="438727FD" w14:textId="77777777" w:rsidTr="00056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980C0E3" w14:textId="77777777" w:rsidR="00056510" w:rsidRDefault="007537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k</m:t>
                </m:r>
              </m:oMath>
            </m:oMathPara>
          </w:p>
        </w:tc>
        <w:tc>
          <w:tcPr>
            <w:tcW w:w="0" w:type="auto"/>
          </w:tcPr>
          <w:p w14:paraId="1B74A74C" w14:textId="77777777" w:rsidR="00056510" w:rsidRDefault="0075373D">
            <w:pPr>
              <w:pStyle w:val="Compact"/>
            </w:pPr>
            <w:r>
              <w:t>0</w:t>
            </w:r>
          </w:p>
        </w:tc>
        <w:tc>
          <w:tcPr>
            <w:tcW w:w="0" w:type="auto"/>
          </w:tcPr>
          <w:p w14:paraId="6542D87D" w14:textId="77777777" w:rsidR="00056510" w:rsidRDefault="0075373D">
            <w:pPr>
              <w:pStyle w:val="Compact"/>
            </w:pPr>
            <w:r>
              <w:t>1</w:t>
            </w:r>
          </w:p>
        </w:tc>
        <w:tc>
          <w:tcPr>
            <w:tcW w:w="0" w:type="auto"/>
          </w:tcPr>
          <w:p w14:paraId="507810FF" w14:textId="77777777" w:rsidR="00056510" w:rsidRDefault="0075373D">
            <w:pPr>
              <w:pStyle w:val="Compact"/>
            </w:pPr>
            <w:r>
              <w:t>2</w:t>
            </w:r>
          </w:p>
        </w:tc>
        <w:tc>
          <w:tcPr>
            <w:tcW w:w="0" w:type="auto"/>
          </w:tcPr>
          <w:p w14:paraId="2930DB75" w14:textId="77777777" w:rsidR="00056510" w:rsidRDefault="0075373D">
            <w:pPr>
              <w:pStyle w:val="Compact"/>
            </w:pPr>
            <w:r>
              <w:t>3</w:t>
            </w:r>
          </w:p>
        </w:tc>
        <w:tc>
          <w:tcPr>
            <w:tcW w:w="0" w:type="auto"/>
          </w:tcPr>
          <w:p w14:paraId="525FE2A8" w14:textId="77777777" w:rsidR="00056510" w:rsidRDefault="0075373D">
            <w:pPr>
              <w:pStyle w:val="Compact"/>
            </w:pPr>
            <w:r>
              <w:t>4</w:t>
            </w:r>
          </w:p>
        </w:tc>
      </w:tr>
      <w:tr w:rsidR="00056510" w14:paraId="0A0E96A4" w14:textId="77777777">
        <w:tc>
          <w:tcPr>
            <w:tcW w:w="0" w:type="auto"/>
          </w:tcPr>
          <w:p w14:paraId="3315F066" w14:textId="77777777" w:rsidR="00056510" w:rsidRDefault="007537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6BB44A93" w14:textId="77777777" w:rsidR="00056510" w:rsidRDefault="007537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0.910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E9DDB37" w14:textId="77777777" w:rsidR="00056510" w:rsidRDefault="007537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0.517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8EFC9E4" w14:textId="77777777" w:rsidR="00056510" w:rsidRDefault="007537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0.278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220DB82" w14:textId="77777777" w:rsidR="00056510" w:rsidRDefault="007537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0.145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1920674" w14:textId="77777777" w:rsidR="00056510" w:rsidRDefault="007537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0.741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056510" w14:paraId="1928590F" w14:textId="77777777">
        <w:tc>
          <w:tcPr>
            <w:tcW w:w="0" w:type="auto"/>
          </w:tcPr>
          <w:p w14:paraId="6CB5C6DA" w14:textId="77777777" w:rsidR="00056510" w:rsidRDefault="007537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149A78A8" w14:textId="77777777" w:rsidR="00056510" w:rsidRDefault="007537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0.152</m:t>
                </m:r>
              </m:oMath>
            </m:oMathPara>
          </w:p>
        </w:tc>
        <w:tc>
          <w:tcPr>
            <w:tcW w:w="0" w:type="auto"/>
          </w:tcPr>
          <w:p w14:paraId="05138865" w14:textId="77777777" w:rsidR="00056510" w:rsidRDefault="007537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0.448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5964497B" w14:textId="77777777" w:rsidR="00056510" w:rsidRDefault="007537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0.329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763D5C3" w14:textId="77777777" w:rsidR="00056510" w:rsidRDefault="007537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0.163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C0C9120" w14:textId="77777777" w:rsidR="00056510" w:rsidRDefault="0075373D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0.398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9</m:t>
                    </m:r>
                  </m:sup>
                </m:sSup>
              </m:oMath>
            </m:oMathPara>
          </w:p>
        </w:tc>
      </w:tr>
    </w:tbl>
    <w:p w14:paraId="3BED6586" w14:textId="77777777" w:rsidR="00056510" w:rsidRDefault="0075373D">
      <w:pPr>
        <w:pStyle w:val="Compact"/>
        <w:numPr>
          <w:ilvl w:val="0"/>
          <w:numId w:val="1"/>
        </w:numPr>
      </w:pPr>
      <w:r>
        <w:t xml:space="preserve">The errors for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</m:oMath>
      <w:r>
        <w:t xml:space="preserve"> decrease much slower.</w:t>
      </w:r>
    </w:p>
    <w:p w14:paraId="1D5C8DB0" w14:textId="77777777" w:rsidR="00056510" w:rsidRDefault="0075373D">
      <w:pPr>
        <w:pStyle w:val="Compact"/>
        <w:numPr>
          <w:ilvl w:val="1"/>
          <w:numId w:val="3"/>
        </w:numPr>
      </w:pPr>
      <w:r>
        <w:t>(2 points) Explain the reason for this phenomenon.</w:t>
      </w:r>
    </w:p>
    <w:p w14:paraId="02B461C6" w14:textId="77777777" w:rsidR="00056510" w:rsidRDefault="0075373D">
      <w:pPr>
        <w:pStyle w:val="Compact"/>
        <w:numPr>
          <w:ilvl w:val="1"/>
          <w:numId w:val="3"/>
        </w:numPr>
      </w:pPr>
      <w:r>
        <w:t xml:space="preserve">(2 points) What can be done to accelerate the convergence for the first polynomial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</m:oMath>
      <w:r>
        <w:t>?</w:t>
      </w:r>
    </w:p>
    <w:p w14:paraId="5D178B52" w14:textId="77777777" w:rsidR="00056510" w:rsidRDefault="0075373D">
      <w:pPr>
        <w:pStyle w:val="Compact"/>
        <w:numPr>
          <w:ilvl w:val="1"/>
          <w:numId w:val="3"/>
        </w:numPr>
      </w:pPr>
      <w:r>
        <w:t xml:space="preserve">(6 points) Justify your suggestion with </w:t>
      </w:r>
      <w:proofErr w:type="gramStart"/>
      <w:r>
        <w:t>a mathematical</w:t>
      </w:r>
      <w:proofErr w:type="gramEnd"/>
      <w:r>
        <w:t xml:space="preserve"> proof.</w:t>
      </w:r>
    </w:p>
    <w:p w14:paraId="6B48B0F0" w14:textId="77777777" w:rsidR="00056510" w:rsidRDefault="00056510">
      <w:pPr>
        <w:pStyle w:val="Compact"/>
        <w:numPr>
          <w:ilvl w:val="0"/>
          <w:numId w:val="2"/>
        </w:numPr>
      </w:pPr>
    </w:p>
    <w:p w14:paraId="5EB8EA76" w14:textId="77777777" w:rsidR="00056510" w:rsidRDefault="0075373D">
      <w:pPr>
        <w:pStyle w:val="Compact"/>
        <w:numPr>
          <w:ilvl w:val="1"/>
          <w:numId w:val="4"/>
        </w:numPr>
      </w:pPr>
      <w:r>
        <w:t xml:space="preserve">(5 points) Define the Gaussian quadrature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carefully for a continuous function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770793B2" w14:textId="77777777" w:rsidR="00056510" w:rsidRDefault="0075373D">
      <w:pPr>
        <w:pStyle w:val="Compact"/>
        <w:numPr>
          <w:ilvl w:val="1"/>
          <w:numId w:val="4"/>
        </w:numPr>
      </w:pPr>
      <w:proofErr w:type="gramStart"/>
      <w:r>
        <w:t>(5 points) State</w:t>
      </w:r>
      <w:proofErr w:type="gramEnd"/>
      <w:r>
        <w:t xml:space="preserve"> the convergence theorem of the Gaussian quadratures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to the integral of </w:t>
      </w:r>
      <m:oMath>
        <m:r>
          <w:rPr>
            <w:rFonts w:ascii="Cambria Math" w:hAnsi="Cambria Math"/>
          </w:rPr>
          <m:t>f</m:t>
        </m:r>
      </m:oMath>
      <w:r>
        <w:t xml:space="preserve"> and give </w:t>
      </w:r>
      <w:proofErr w:type="gramStart"/>
      <w:r>
        <w:t>a proof</w:t>
      </w:r>
      <w:proofErr w:type="gramEnd"/>
      <w:r>
        <w:t>.</w:t>
      </w:r>
    </w:p>
    <w:p w14:paraId="78BA03E7" w14:textId="77777777" w:rsidR="00056510" w:rsidRDefault="0075373D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is nonsingular. 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be two vectors. Under what condition is the following matrix</w:t>
      </w:r>
    </w:p>
    <w:p w14:paraId="1334B905" w14:textId="77777777" w:rsidR="00056510" w:rsidRDefault="00000000">
      <w:pPr>
        <w:pStyle w:val="Compac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p>
                    </m:sSup>
                  </m:e>
                </m:mr>
                <m:m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</m:acc>
                  </m:e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mr>
              </m:m>
            </m:e>
          </m:d>
        </m:oMath>
      </m:oMathPara>
    </w:p>
    <w:p w14:paraId="68AAB148" w14:textId="77777777" w:rsidR="00056510" w:rsidRDefault="0075373D">
      <w:pPr>
        <w:pStyle w:val="Compact"/>
        <w:numPr>
          <w:ilvl w:val="0"/>
          <w:numId w:val="1"/>
        </w:numPr>
      </w:pPr>
      <w:r>
        <w:t>invertible (4 points)? Find the explicit form for the inverse matrix (6 points).</w:t>
      </w:r>
    </w:p>
    <w:p w14:paraId="77600765" w14:textId="77777777" w:rsidR="00056510" w:rsidRDefault="0075373D">
      <w:pPr>
        <w:pStyle w:val="Compact"/>
        <w:numPr>
          <w:ilvl w:val="0"/>
          <w:numId w:val="2"/>
        </w:numPr>
      </w:pPr>
      <w:r>
        <w:t>Let</w:t>
      </w:r>
    </w:p>
    <w:p w14:paraId="3A08B1A4" w14:textId="77777777" w:rsidR="00056510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sin((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)arccos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,…</m:t>
          </m:r>
        </m:oMath>
      </m:oMathPara>
    </w:p>
    <w:p w14:paraId="7A93B578" w14:textId="77777777" w:rsidR="00056510" w:rsidRDefault="0075373D">
      <w:pPr>
        <w:pStyle w:val="Compact"/>
        <w:numPr>
          <w:ilvl w:val="1"/>
          <w:numId w:val="5"/>
        </w:numPr>
      </w:pPr>
      <w:r>
        <w:t xml:space="preserve">(5 points) Prove that these functions are algebraic polynomials of degree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0FA5B515" w14:textId="77777777" w:rsidR="00056510" w:rsidRDefault="0075373D">
      <w:pPr>
        <w:pStyle w:val="Compact"/>
        <w:numPr>
          <w:ilvl w:val="1"/>
          <w:numId w:val="5"/>
        </w:numPr>
      </w:pPr>
      <w:r>
        <w:t xml:space="preserve">(5 points) For integers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m</m:t>
        </m:r>
      </m:oMath>
      <w:r>
        <w:t>, prove</w:t>
      </w:r>
    </w:p>
    <w:p w14:paraId="63209D1A" w14:textId="77777777" w:rsidR="00056510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e>
          </m:nary>
          <m:r>
            <w:rPr>
              <w:rFonts w:ascii="Cambria Math" w:hAnsi="Cambria Math"/>
            </w:rPr>
            <m:t> 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7537CA4E" w14:textId="77777777" w:rsidR="00056510" w:rsidRDefault="0075373D">
      <w:pPr>
        <w:pStyle w:val="Compact"/>
        <w:numPr>
          <w:ilvl w:val="0"/>
          <w:numId w:val="2"/>
        </w:numPr>
      </w:pPr>
      <w:r>
        <w:t xml:space="preserve">Fix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be a polynomial </w:t>
      </w:r>
      <m:oMath>
        <m:r>
          <w:rPr>
            <w:rFonts w:ascii="Cambria Math" w:hAnsi="Cambria Math"/>
          </w:rPr>
          <m:t>B</m:t>
        </m:r>
      </m:oMath>
      <w:r>
        <w:t xml:space="preserve">-spline of degree </w:t>
      </w:r>
      <m:oMath>
        <m:r>
          <w:rPr>
            <w:rFonts w:ascii="Cambria Math" w:hAnsi="Cambria Math"/>
          </w:rPr>
          <m:t>n</m:t>
        </m:r>
      </m:oMath>
      <w:r>
        <w:t xml:space="preserve"> with integer nodes and support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Prove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=-</m:t>
            </m:r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bSup>
      </m:oMath>
      <w:r>
        <w:t xml:space="preserve"> are linearly independent on the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>.</w:t>
      </w:r>
    </w:p>
    <w:p w14:paraId="785906B2" w14:textId="77777777" w:rsidR="00056510" w:rsidRDefault="0075373D">
      <w:pPr>
        <w:pStyle w:val="Compact"/>
        <w:numPr>
          <w:ilvl w:val="0"/>
          <w:numId w:val="2"/>
        </w:numPr>
      </w:pPr>
      <w:r>
        <w:lastRenderedPageBreak/>
        <w:t xml:space="preserve">An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-dimensional linear subspace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called a Haar subspace if each non-zero function in </w:t>
      </w:r>
      <m:oMath>
        <m:r>
          <w:rPr>
            <w:rFonts w:ascii="Cambria Math" w:hAnsi="Cambria Math"/>
          </w:rPr>
          <m:t>H</m:t>
        </m:r>
      </m:oMath>
      <w:r>
        <w:t xml:space="preserve"> has at most </w:t>
      </w:r>
      <m:oMath>
        <m:r>
          <w:rPr>
            <w:rFonts w:ascii="Cambria Math" w:hAnsi="Cambria Math"/>
          </w:rPr>
          <m:t>n</m:t>
        </m:r>
      </m:oMath>
      <w:r>
        <w:t xml:space="preserve"> roots. Show that the linear span </w:t>
      </w:r>
      <m:oMath>
        <m:r>
          <w:rPr>
            <w:rFonts w:ascii="Cambria Math" w:hAnsi="Cambria Math"/>
          </w:rPr>
          <m:t>H</m:t>
        </m:r>
      </m:oMath>
      <w:r>
        <w:t xml:space="preserve"> of functions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,⋯,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)}</m:t>
        </m:r>
      </m:oMath>
      <w:r>
        <w:t xml:space="preserve"> is a Haar subspace of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if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nor/>
              </m:rPr>
              <m:t>th</m:t>
            </m:r>
          </m:sup>
        </m:sSup>
      </m:oMath>
      <w:r>
        <w:t xml:space="preserve"> derivative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</w:t>
      </w:r>
      <m:oMath>
        <m:r>
          <w:rPr>
            <w:rFonts w:ascii="Cambria Math" w:hAnsi="Cambria Math"/>
          </w:rPr>
          <m:t>f</m:t>
        </m:r>
      </m:oMath>
      <w:r>
        <w:t xml:space="preserve"> is strictly positive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0A62DE51" w14:textId="77777777" w:rsidR="00056510" w:rsidRDefault="0075373D">
      <w:pPr>
        <w:pStyle w:val="Compact"/>
        <w:numPr>
          <w:ilvl w:val="0"/>
          <w:numId w:val="2"/>
        </w:numPr>
      </w:pPr>
      <w:r>
        <w:t xml:space="preserve">Suppose that the matrix norm </w:t>
      </w:r>
      <m:oMath>
        <m:r>
          <m:rPr>
            <m:sty m:val="p"/>
          </m:rPr>
          <w:rPr>
            <w:rFonts w:ascii="Cambria Math" w:hAnsi="Cambria Math"/>
          </w:rPr>
          <m:t>∥⋅∥</m:t>
        </m:r>
      </m:oMath>
      <w:r>
        <w:t xml:space="preserve"> is subordinate. Let </w:t>
      </w:r>
      <m:oMath>
        <m:r>
          <w:rPr>
            <w:rFonts w:ascii="Cambria Math" w:hAnsi="Cambria Math"/>
          </w:rPr>
          <m:t>S</m:t>
        </m:r>
      </m:oMath>
      <w:r>
        <w:t xml:space="preserve"> be a non-singular square matrix. Prove or disprove that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A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SA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∥</m:t>
        </m:r>
      </m:oMath>
      <w:r>
        <w:t xml:space="preserve"> is also a subordinate norm.</w:t>
      </w:r>
    </w:p>
    <w:p w14:paraId="0DF78273" w14:textId="77777777" w:rsidR="00056510" w:rsidRDefault="0075373D">
      <w:pPr>
        <w:pStyle w:val="Compact"/>
        <w:numPr>
          <w:ilvl w:val="0"/>
          <w:numId w:val="2"/>
        </w:numPr>
      </w:pPr>
      <w:r>
        <w:t xml:space="preserve">Suppose that a square matrix </w:t>
      </w:r>
      <m:oMath>
        <m:r>
          <w:rPr>
            <w:rFonts w:ascii="Cambria Math" w:hAnsi="Cambria Math"/>
          </w:rPr>
          <m:t>A</m:t>
        </m:r>
      </m:oMath>
      <w:r>
        <w:t xml:space="preserve"> is strictly diagonally dominant. Show that the Gauss-Seidel iteration for the linear system </w:t>
      </w:r>
      <m:oMath>
        <m:r>
          <w:rPr>
            <w:rFonts w:ascii="Cambria Math" w:hAnsi="Cambria Math"/>
          </w:rPr>
          <m:t>A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b</m:t>
        </m:r>
      </m:oMath>
      <w:r>
        <w:t xml:space="preserve"> converges.</w:t>
      </w:r>
    </w:p>
    <w:p w14:paraId="6B543204" w14:textId="77777777" w:rsidR="00056510" w:rsidRDefault="0075373D">
      <w:pPr>
        <w:pStyle w:val="Compact"/>
        <w:numPr>
          <w:ilvl w:val="0"/>
          <w:numId w:val="2"/>
        </w:numPr>
      </w:pPr>
      <w:r>
        <w:t xml:space="preserve">Consider a single step method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hψ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numerical solution of initial value problem of ODE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Suppose that </w:t>
      </w:r>
      <m:oMath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Lipschitz continuous with respect to </w:t>
      </w:r>
      <m:oMath>
        <m:r>
          <w:rPr>
            <w:rFonts w:ascii="Cambria Math" w:hAnsi="Cambria Math"/>
          </w:rPr>
          <m:t>y</m:t>
        </m:r>
      </m:oMath>
      <w:r>
        <w:t xml:space="preserve"> with Lipschitz constant </w:t>
      </w:r>
      <m:oMath>
        <m:r>
          <w:rPr>
            <w:rFonts w:ascii="Cambria Math" w:hAnsi="Cambria Math"/>
          </w:rPr>
          <m:t>L</m:t>
        </m:r>
      </m:oMath>
      <w:r>
        <w:t xml:space="preserve">. Suppose that the local truncation error of order </w:t>
      </w:r>
      <m:oMath>
        <m:r>
          <w:rPr>
            <w:rFonts w:ascii="Cambria Math" w:hAnsi="Cambria Math"/>
          </w:rPr>
          <m:t>m</m:t>
        </m:r>
      </m:oMath>
      <w:r>
        <w:t>, i.e.,</w:t>
      </w:r>
    </w:p>
    <w:p w14:paraId="180FC528" w14:textId="77777777" w:rsidR="00056510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ψ​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),</m:t>
              </m:r>
              <m:r>
                <w:rPr>
                  <w:rFonts w:ascii="Cambria Math" w:hAnsi="Cambria Math"/>
                </w:rPr>
                <m:t>h</m:t>
              </m:r>
            </m:e>
          </m:d>
          <m:r>
            <m:rPr>
              <m:scr m:val="script"/>
              <m:sty m:val="p"/>
            </m:rPr>
            <w:rPr>
              <w:rFonts w:ascii="Cambria Math" w:hAnsi="Cambria Math"/>
            </w:rPr>
            <m:t>=O(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m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300B5331" w14:textId="77777777" w:rsidR="00056510" w:rsidRDefault="0075373D">
      <w:pPr>
        <w:pStyle w:val="Compact"/>
        <w:numPr>
          <w:ilvl w:val="0"/>
          <w:numId w:val="1"/>
        </w:numPr>
      </w:pPr>
      <w:r>
        <w:t xml:space="preserve">Show that numerical solution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approximates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the following sense</w:t>
      </w:r>
    </w:p>
    <w:p w14:paraId="3D835977" w14:textId="77777777" w:rsidR="00056510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L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  <m:r>
                    <w:rPr>
                      <w:rFonts w:ascii="Cambria Math" w:hAnsi="Cambria Math"/>
                    </w:rPr>
                    <m:t>L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L</m:t>
              </m:r>
            </m:den>
          </m:f>
          <m: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m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730BFBD3" w14:textId="77777777" w:rsidR="00056510" w:rsidRDefault="0075373D">
      <w:pPr>
        <w:pStyle w:val="Compact"/>
        <w:numPr>
          <w:ilvl w:val="0"/>
          <w:numId w:val="1"/>
        </w:numPr>
      </w:pPr>
      <w:r>
        <w:t xml:space="preserve">for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</m:oMath>
      <w:r>
        <w:t>.</w:t>
      </w:r>
    </w:p>
    <w:p w14:paraId="2DC8C670" w14:textId="77777777" w:rsidR="00056510" w:rsidRDefault="0075373D">
      <w:pPr>
        <w:pStyle w:val="Compact"/>
        <w:numPr>
          <w:ilvl w:val="0"/>
          <w:numId w:val="2"/>
        </w:numPr>
      </w:pPr>
      <w:r>
        <w:t>Consider a linear least squares problem:</w:t>
      </w:r>
    </w:p>
    <w:p w14:paraId="0A71890A" w14:textId="77777777" w:rsidR="00056510" w:rsidRDefault="0075373D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min∥</m:t>
          </m:r>
          <m:r>
            <w:rPr>
              <w:rFonts w:ascii="Cambria Math" w:hAnsi="Cambria Math"/>
            </w:rPr>
            <m:t>A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bi"/>
            </m:rPr>
            <w:rPr>
              <w:rFonts w:ascii="Cambria Math" w:hAnsi="Cambria Math"/>
            </w:rPr>
            <m:t>b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40A2E9A6" w14:textId="77777777" w:rsidR="00056510" w:rsidRDefault="0075373D">
      <w:pPr>
        <w:pStyle w:val="Compact"/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A</m:t>
        </m:r>
      </m:oMath>
      <w:r>
        <w:t xml:space="preserve"> is a matrix of size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with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n</m:t>
        </m:r>
      </m:oMath>
      <w: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b</m:t>
        </m:r>
      </m:oMath>
      <w:r>
        <w:t xml:space="preserve"> of size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1</m:t>
        </m:r>
      </m:oMath>
      <w:r>
        <w:t>.</w:t>
      </w:r>
    </w:p>
    <w:p w14:paraId="44EA54CE" w14:textId="77777777" w:rsidR="00056510" w:rsidRDefault="0075373D">
      <w:pPr>
        <w:pStyle w:val="Compact"/>
        <w:numPr>
          <w:ilvl w:val="1"/>
          <w:numId w:val="6"/>
        </w:numPr>
      </w:pPr>
      <w:r>
        <w:t>(5 points) Use the SVD to describe how to solve the least square problem, and</w:t>
      </w:r>
    </w:p>
    <w:p w14:paraId="6CC431F5" w14:textId="77777777" w:rsidR="00056510" w:rsidRDefault="0075373D">
      <w:pPr>
        <w:pStyle w:val="Compact"/>
        <w:numPr>
          <w:ilvl w:val="1"/>
          <w:numId w:val="6"/>
        </w:numPr>
      </w:pPr>
      <w:r>
        <w:t>(5 points) explain why your method works.</w:t>
      </w:r>
      <w:bookmarkEnd w:id="0"/>
      <w:bookmarkEnd w:id="1"/>
      <w:bookmarkEnd w:id="2"/>
    </w:p>
    <w:sectPr w:rsidR="0005651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310D8A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A41A2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A35A5AF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755974981">
    <w:abstractNumId w:val="0"/>
  </w:num>
  <w:num w:numId="2" w16cid:durableId="1163742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357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078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381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855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10"/>
    <w:rsid w:val="00056510"/>
    <w:rsid w:val="005447AD"/>
    <w:rsid w:val="0075373D"/>
    <w:rsid w:val="00A743C7"/>
    <w:rsid w:val="00B5548B"/>
    <w:rsid w:val="00D8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8F10"/>
  <w15:docId w15:val="{A9346A2C-4B33-4D43-8D19-7F5C0B0B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2634</Characters>
  <Application>Microsoft Office Word</Application>
  <DocSecurity>0</DocSecurity>
  <Lines>51</Lines>
  <Paragraphs>33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Analysis Qual Exam (Fall 2015)</dc:title>
  <dc:creator>Paul Pollack</dc:creator>
  <cp:keywords/>
  <cp:lastModifiedBy>Paul Pollack</cp:lastModifiedBy>
  <cp:revision>3</cp:revision>
  <dcterms:created xsi:type="dcterms:W3CDTF">2026-03-28T16:35:00Z</dcterms:created>
  <dcterms:modified xsi:type="dcterms:W3CDTF">2026-03-28T16:38:00Z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