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C398" w14:textId="77777777" w:rsidR="00F5305D" w:rsidRDefault="00AC549C">
      <w:pPr>
        <w:pStyle w:val="Title"/>
      </w:pPr>
      <w:r>
        <w:t>Qualifying Examination Problems for Numerical Analysis — Spring 2022</w:t>
      </w:r>
    </w:p>
    <w:p w14:paraId="58B5B54B" w14:textId="77777777" w:rsidR="00F5305D" w:rsidRDefault="00AC549C">
      <w:pPr>
        <w:pStyle w:val="Heading2"/>
      </w:pPr>
      <w:bookmarkStart w:id="0" w:name="X9abf4d0d05f987ac8f5bdfbd2df6cb6281dce54"/>
      <w:bookmarkStart w:id="1" w:name="main-content"/>
      <w:bookmarkStart w:id="2" w:name="numerical-linear-systems"/>
      <w:r>
        <w:t>Numerical Linear Systems</w:t>
      </w:r>
    </w:p>
    <w:p w14:paraId="4DF8EB31" w14:textId="77777777" w:rsidR="00F5305D" w:rsidRDefault="00AC549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invertible matrix and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be a perturbation of </w:t>
      </w:r>
      <m:oMath>
        <m:r>
          <w:rPr>
            <w:rFonts w:ascii="Cambria Math" w:hAnsi="Cambria Math"/>
          </w:rPr>
          <m:t>A</m:t>
        </m:r>
      </m:oMath>
      <w:r>
        <w:t xml:space="preserve"> satisfying </w:t>
      </w:r>
      <m:oMath>
        <m:d>
          <m:dPr>
            <m:begChr m:val="∥"/>
            <m:endChr m:val="∥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</m:e>
        </m:d>
        <m:d>
          <m:dPr>
            <m:begChr m:val="∥"/>
            <m:endChr m:val="∥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. Suppose that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are the exact solutions of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and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>, respectively. Show that</w:t>
      </w:r>
    </w:p>
    <w:p w14:paraId="616394AF" w14:textId="77777777" w:rsidR="00F5305D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cond(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-cond(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den>
              </m:f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44BEE44" w14:textId="77777777" w:rsidR="00F5305D" w:rsidRDefault="00AC549C">
      <w:pPr>
        <w:numPr>
          <w:ilvl w:val="0"/>
          <w:numId w:val="2"/>
        </w:numPr>
      </w:pPr>
      <w:r>
        <w:t xml:space="preserve">Define the singular value decomposition (SVD) for a rectangular matrix </w:t>
      </w:r>
      <m:oMath>
        <m:r>
          <w:rPr>
            <w:rFonts w:ascii="Cambria Math" w:hAnsi="Cambria Math"/>
          </w:rPr>
          <m:t>A</m:t>
        </m:r>
      </m:oMath>
      <w:r>
        <w:t xml:space="preserve"> of size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>. (3 points) Explain how to use SVD for solving a linear least squares problem (7 points)</w:t>
      </w:r>
    </w:p>
    <w:p w14:paraId="300087BD" w14:textId="77777777" w:rsidR="00F5305D" w:rsidRDefault="00AC549C">
      <w:pPr>
        <w:numPr>
          <w:ilvl w:val="0"/>
          <w:numId w:val="2"/>
        </w:numPr>
      </w:pPr>
      <w:r>
        <w:t xml:space="preserve">Explain how to use the power method to find the leading eigenvalue of a symmetric matrix </w:t>
      </w:r>
      <m:oMath>
        <m:r>
          <w:rPr>
            <w:rFonts w:ascii="Cambria Math" w:hAnsi="Cambria Math"/>
          </w:rPr>
          <m:t>A</m:t>
        </m:r>
      </m:oMath>
      <w:r>
        <w:t xml:space="preserve">. (3 points) Furthermore, explain how to use the power method to find all other eigenvalues of </w:t>
      </w:r>
      <m:oMath>
        <m:r>
          <w:rPr>
            <w:rFonts w:ascii="Cambria Math" w:hAnsi="Cambria Math"/>
          </w:rPr>
          <m:t>A</m:t>
        </m:r>
      </m:oMath>
      <w:r>
        <w:t>. (7 points)</w:t>
      </w:r>
    </w:p>
    <w:p w14:paraId="1F6419C1" w14:textId="77777777" w:rsidR="00F5305D" w:rsidRDefault="00AC549C">
      <w:pPr>
        <w:pStyle w:val="Heading2"/>
      </w:pPr>
      <w:bookmarkStart w:id="3" w:name="X6f987925322fc865e5b280420bfb9e947a41326"/>
      <w:bookmarkEnd w:id="2"/>
      <w:r>
        <w:t>Polynomial Interpolation and Approximation</w:t>
      </w:r>
    </w:p>
    <w:p w14:paraId="5E3CCE83" w14:textId="77777777" w:rsidR="00F5305D" w:rsidRDefault="00AC549C">
      <w:pPr>
        <w:numPr>
          <w:ilvl w:val="0"/>
          <w:numId w:val="3"/>
        </w:numPr>
      </w:pPr>
      <w:r>
        <w:t xml:space="preserve">(10 points) Prove that for any polynomial </w:t>
      </w:r>
      <m:oMath>
        <m:r>
          <w:rPr>
            <w:rFonts w:ascii="Cambria Math" w:hAnsi="Cambria Math"/>
          </w:rPr>
          <m:t>q</m:t>
        </m:r>
      </m:oMath>
      <w:r>
        <w:t xml:space="preserve"> of degree 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</w:p>
    <w:p w14:paraId="5DCB69C7" w14:textId="77777777" w:rsidR="00F5305D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q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≠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e>
                </m:mr>
              </m:m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5FA5F09A" w14:textId="77777777" w:rsidR="00F5305D" w:rsidRDefault="00AC549C">
      <w:pPr>
        <w:numPr>
          <w:ilvl w:val="0"/>
          <w:numId w:val="1"/>
        </w:num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are distinct.</w:t>
      </w:r>
    </w:p>
    <w:p w14:paraId="7C0C20B4" w14:textId="77777777" w:rsidR="00F5305D" w:rsidRDefault="00AC549C">
      <w:pPr>
        <w:numPr>
          <w:ilvl w:val="0"/>
          <w:numId w:val="3"/>
        </w:numPr>
      </w:pPr>
      <w:r>
        <w:t xml:space="preserve">(10 points)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be given points in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</m:oMath>
      <w:r>
        <w:t xml:space="preserve"> be a continuous function over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What is the Lagrange interpolatory polynomial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of degree </w:t>
      </w:r>
      <m:oMath>
        <m:r>
          <w:rPr>
            <w:rFonts w:ascii="Cambria Math" w:hAnsi="Cambria Math"/>
          </w:rPr>
          <m:t>n</m:t>
        </m:r>
      </m:oMath>
      <w:r>
        <w:t xml:space="preserve"> satisfying</w:t>
      </w:r>
    </w:p>
    <w:p w14:paraId="784F94A5" w14:textId="77777777" w:rsidR="00F5305D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,⋯,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?</m:t>
          </m:r>
        </m:oMath>
      </m:oMathPara>
    </w:p>
    <w:p w14:paraId="20067681" w14:textId="77777777" w:rsidR="00F5305D" w:rsidRDefault="00AC549C">
      <w:pPr>
        <w:numPr>
          <w:ilvl w:val="0"/>
          <w:numId w:val="1"/>
        </w:numPr>
      </w:pPr>
      <w:r>
        <w:t xml:space="preserve">(3 points) 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What is the error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? (3 points). Furthermore, using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to approximate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based on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 xml:space="preserve">, what is the error term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if </w:t>
      </w:r>
      <m:oMath>
        <m:r>
          <w:rPr>
            <w:rFonts w:ascii="Cambria Math" w:hAnsi="Cambria Math"/>
          </w:rPr>
          <m:t>f</m:t>
        </m:r>
      </m:oMath>
      <w:r>
        <w:t xml:space="preserve"> is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times differentiable? (4 points)</w:t>
      </w:r>
    </w:p>
    <w:p w14:paraId="32FCF061" w14:textId="77777777" w:rsidR="00F5305D" w:rsidRDefault="00AC549C">
      <w:pPr>
        <w:pStyle w:val="Heading2"/>
      </w:pPr>
      <w:bookmarkStart w:id="4" w:name="numerical-integration"/>
      <w:bookmarkEnd w:id="3"/>
      <w:r>
        <w:t>Numerical Integration</w:t>
      </w:r>
    </w:p>
    <w:p w14:paraId="2C9E97F3" w14:textId="77777777" w:rsidR="00F5305D" w:rsidRDefault="00AC549C">
      <w:pPr>
        <w:numPr>
          <w:ilvl w:val="0"/>
          <w:numId w:val="4"/>
        </w:numPr>
      </w:pPr>
      <w:r>
        <w:t xml:space="preserve">(10 points) Define Gauss Quadrature formula for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>, i.e.</w:t>
      </w:r>
    </w:p>
    <w:p w14:paraId="5B380F88" w14:textId="77777777" w:rsidR="00F5305D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)≈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</m:oMath>
      </m:oMathPara>
    </w:p>
    <w:p w14:paraId="10B8AE79" w14:textId="77777777" w:rsidR="00F5305D" w:rsidRDefault="00AC549C">
      <w:pPr>
        <w:numPr>
          <w:ilvl w:val="0"/>
          <w:numId w:val="1"/>
        </w:numPr>
      </w:pPr>
      <w:r>
        <w:lastRenderedPageBreak/>
        <w:t xml:space="preserve">using polynomials of degree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. (5 points). Show that the coefficients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are nonnegative. (5 points)</w:t>
      </w:r>
    </w:p>
    <w:p w14:paraId="180A182C" w14:textId="77777777" w:rsidR="00F5305D" w:rsidRDefault="00AC549C">
      <w:pPr>
        <w:pStyle w:val="Heading2"/>
      </w:pPr>
      <w:bookmarkStart w:id="5" w:name="spline-approximation"/>
      <w:bookmarkEnd w:id="4"/>
      <w:r>
        <w:t>Spline Approximation</w:t>
      </w:r>
    </w:p>
    <w:p w14:paraId="564E1D02" w14:textId="77777777" w:rsidR="00F5305D" w:rsidRDefault="00AC549C">
      <w:pPr>
        <w:numPr>
          <w:ilvl w:val="0"/>
          <w:numId w:val="5"/>
        </w:numPr>
      </w:pPr>
      <w:r>
        <w:t xml:space="preserve">Find the smoothness conditions to ensure that a spline function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defined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]∪[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by</w:t>
      </w:r>
    </w:p>
    <w:p w14:paraId="0DBBCB71" w14:textId="77777777" w:rsidR="00F5305D" w:rsidRDefault="00AC549C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∈[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),</m:t>
                    </m:r>
                  </m:e>
                </m:mr>
                <m:m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),</m:t>
                    </m:r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∈[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]</m:t>
                    </m:r>
                  </m:e>
                </m:mr>
              </m:m>
            </m:e>
          </m:d>
        </m:oMath>
      </m:oMathPara>
    </w:p>
    <w:p w14:paraId="78786F3C" w14:textId="77777777" w:rsidR="00F5305D" w:rsidRDefault="00AC549C">
      <w:pPr>
        <w:numPr>
          <w:ilvl w:val="0"/>
          <w:numId w:val="1"/>
        </w:numPr>
      </w:pPr>
      <w:r>
        <w:t xml:space="preserve">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i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i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i</m:t>
            </m:r>
          </m:sup>
        </m:sSup>
        <m:r>
          <m:rPr>
            <m:sty m:val="p"/>
          </m:rPr>
          <w:rPr>
            <w:rFonts w:ascii="Cambria Math" w:hAnsi="Cambria Math"/>
          </w:rPr>
          <m:t>/(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 xml:space="preserve">, are Bernstein polynomials of degree </w:t>
      </w:r>
      <m:oMath>
        <m:r>
          <w:rPr>
            <w:rFonts w:ascii="Cambria Math" w:hAnsi="Cambria Math"/>
          </w:rPr>
          <m:t>n</m:t>
        </m:r>
      </m:oMath>
      <w:r>
        <w:t xml:space="preserve"> and similar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F50520C" w14:textId="77777777" w:rsidR="00F5305D" w:rsidRDefault="00AC549C">
      <w:pPr>
        <w:pStyle w:val="Heading2"/>
      </w:pPr>
      <w:bookmarkStart w:id="6" w:name="numerical-solution-of-ode"/>
      <w:bookmarkEnd w:id="5"/>
      <w:r>
        <w:t>Numerical Solution of ODE</w:t>
      </w:r>
    </w:p>
    <w:p w14:paraId="07687CF1" w14:textId="77777777" w:rsidR="00F5305D" w:rsidRDefault="00AC549C">
      <w:pPr>
        <w:numPr>
          <w:ilvl w:val="0"/>
          <w:numId w:val="6"/>
        </w:numPr>
      </w:pPr>
      <w:r>
        <w:t>(10 points) Explain a method to solve a second order ODE (IVP) numerically:</w:t>
      </w:r>
    </w:p>
    <w:p w14:paraId="4E8DD037" w14:textId="77777777" w:rsidR="00F5305D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),</m:t>
                    </m:r>
                    <m:r>
                      <w:rPr>
                        <w:rFonts w:ascii="Cambria Math" w:hAnsi="Cambria Math"/>
                      </w:rPr>
                      <m:t> x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∈[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]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)=</m:t>
                    </m:r>
                    <m:r>
                      <w:rPr>
                        <w:rFonts w:ascii="Cambria Math" w:hAnsi="Cambria Math"/>
                      </w:rPr>
                      <m:t>α</m:t>
                    </m:r>
                    <m:r>
                      <m:rPr>
                        <m:nor/>
                      </m:rPr>
                      <m:t xml:space="preserve"> and 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)=</m:t>
                    </m:r>
                    <m:r>
                      <w:rPr>
                        <w:rFonts w:ascii="Cambria Math" w:hAnsi="Cambria Math"/>
                      </w:rPr>
                      <m:t>β</m:t>
                    </m:r>
                  </m:e>
                </m:mr>
              </m:m>
            </m:e>
          </m:d>
        </m:oMath>
      </m:oMathPara>
    </w:p>
    <w:p w14:paraId="31799D55" w14:textId="77777777" w:rsidR="00F5305D" w:rsidRDefault="00AC549C">
      <w:pPr>
        <w:numPr>
          <w:ilvl w:val="0"/>
          <w:numId w:val="1"/>
        </w:numPr>
      </w:pPr>
      <w:r>
        <w:t>(1)</w:t>
      </w:r>
    </w:p>
    <w:p w14:paraId="21958712" w14:textId="77777777" w:rsidR="00F5305D" w:rsidRDefault="00AC549C">
      <w:pPr>
        <w:numPr>
          <w:ilvl w:val="0"/>
          <w:numId w:val="1"/>
        </w:numPr>
      </w:pPr>
      <w:r>
        <w:t>Be sure to explain its convergence of your method.</w:t>
      </w:r>
      <w:bookmarkEnd w:id="0"/>
      <w:bookmarkEnd w:id="1"/>
      <w:bookmarkEnd w:id="6"/>
    </w:p>
    <w:sectPr w:rsidR="00F5305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144D1E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7DBAE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204"/>
    <w:multiLevelType w:val="multilevel"/>
    <w:tmpl w:val="8168ED0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Roman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Roman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206"/>
    <w:multiLevelType w:val="multilevel"/>
    <w:tmpl w:val="7DC21B4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lowerLetter"/>
      <w:lvlText w:val="%2."/>
      <w:lvlJc w:val="left"/>
      <w:pPr>
        <w:ind w:left="1440" w:hanging="360"/>
      </w:pPr>
    </w:lvl>
    <w:lvl w:ilvl="2">
      <w:start w:val="6"/>
      <w:numFmt w:val="lowerRoman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lowerLetter"/>
      <w:lvlText w:val="%5."/>
      <w:lvlJc w:val="left"/>
      <w:pPr>
        <w:ind w:left="3600" w:hanging="360"/>
      </w:pPr>
    </w:lvl>
    <w:lvl w:ilvl="5">
      <w:start w:val="6"/>
      <w:numFmt w:val="lowerRoman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lowerLetter"/>
      <w:lvlText w:val="%8."/>
      <w:lvlJc w:val="left"/>
      <w:pPr>
        <w:ind w:left="5760" w:hanging="360"/>
      </w:pPr>
    </w:lvl>
    <w:lvl w:ilvl="8">
      <w:start w:val="6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0A99207"/>
    <w:multiLevelType w:val="multilevel"/>
    <w:tmpl w:val="AC34CDC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lowerLetter"/>
      <w:lvlText w:val="%2."/>
      <w:lvlJc w:val="left"/>
      <w:pPr>
        <w:ind w:left="1440" w:hanging="360"/>
      </w:pPr>
    </w:lvl>
    <w:lvl w:ilvl="2">
      <w:start w:val="7"/>
      <w:numFmt w:val="lowerRoman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lowerLetter"/>
      <w:lvlText w:val="%5."/>
      <w:lvlJc w:val="left"/>
      <w:pPr>
        <w:ind w:left="3600" w:hanging="360"/>
      </w:pPr>
    </w:lvl>
    <w:lvl w:ilvl="5">
      <w:start w:val="7"/>
      <w:numFmt w:val="lowerRoman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lowerLetter"/>
      <w:lvlText w:val="%8."/>
      <w:lvlJc w:val="left"/>
      <w:pPr>
        <w:ind w:left="5760" w:hanging="360"/>
      </w:pPr>
    </w:lvl>
    <w:lvl w:ilvl="8">
      <w:start w:val="7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0A99208"/>
    <w:multiLevelType w:val="multilevel"/>
    <w:tmpl w:val="D77C5DA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lowerLetter"/>
      <w:lvlText w:val="%2."/>
      <w:lvlJc w:val="left"/>
      <w:pPr>
        <w:ind w:left="1440" w:hanging="360"/>
      </w:pPr>
    </w:lvl>
    <w:lvl w:ilvl="2">
      <w:start w:val="8"/>
      <w:numFmt w:val="lowerRoman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lowerLetter"/>
      <w:lvlText w:val="%5."/>
      <w:lvlJc w:val="left"/>
      <w:pPr>
        <w:ind w:left="3600" w:hanging="360"/>
      </w:pPr>
    </w:lvl>
    <w:lvl w:ilvl="5">
      <w:start w:val="8"/>
      <w:numFmt w:val="lowerRoman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lowerLetter"/>
      <w:lvlText w:val="%8."/>
      <w:lvlJc w:val="left"/>
      <w:pPr>
        <w:ind w:left="5760" w:hanging="360"/>
      </w:pPr>
    </w:lvl>
    <w:lvl w:ilvl="8">
      <w:start w:val="8"/>
      <w:numFmt w:val="lowerRoman"/>
      <w:lvlText w:val="%9."/>
      <w:lvlJc w:val="left"/>
      <w:pPr>
        <w:ind w:left="6480" w:hanging="360"/>
      </w:pPr>
    </w:lvl>
  </w:abstractNum>
  <w:num w:numId="1" w16cid:durableId="1098330385">
    <w:abstractNumId w:val="0"/>
  </w:num>
  <w:num w:numId="2" w16cid:durableId="1212572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1637567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4" w16cid:durableId="640966843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5" w16cid:durableId="1450778174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6" w16cid:durableId="384456122">
    <w:abstractNumId w:val="5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5D"/>
    <w:rsid w:val="000A4720"/>
    <w:rsid w:val="00154656"/>
    <w:rsid w:val="0045535A"/>
    <w:rsid w:val="005447AD"/>
    <w:rsid w:val="00AC549C"/>
    <w:rsid w:val="00F5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FF05"/>
  <w15:docId w15:val="{3310C080-5E9D-4951-A606-E7CDA461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2045</Characters>
  <Application>Microsoft Office Word</Application>
  <DocSecurity>0</DocSecurity>
  <Lines>40</Lines>
  <Paragraphs>25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Examination Problems for Numerical Analysis — Spring 2022</dc:title>
  <dc:creator>Paul Pollack</dc:creator>
  <cp:keywords/>
  <cp:lastModifiedBy>Paul Pollack</cp:lastModifiedBy>
  <cp:revision>3</cp:revision>
  <dcterms:created xsi:type="dcterms:W3CDTF">2026-03-28T16:36:00Z</dcterms:created>
  <dcterms:modified xsi:type="dcterms:W3CDTF">2026-03-28T16:37:00Z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