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E73F" w14:textId="77777777" w:rsidR="00FA1EA4" w:rsidRDefault="00504BB0">
      <w:pPr>
        <w:pStyle w:val="Title"/>
      </w:pPr>
      <w:r>
        <w:t>Real Analysis Qualifying Examination, August 2011</w:t>
      </w:r>
    </w:p>
    <w:p w14:paraId="7B601872" w14:textId="77777777" w:rsidR="00FA1EA4" w:rsidRDefault="00504BB0">
      <w:pPr>
        <w:pStyle w:val="Heading2"/>
      </w:pPr>
      <w:bookmarkStart w:id="0" w:name="real-analysis-qualifying-examination"/>
      <w:bookmarkStart w:id="1" w:name="main-content"/>
      <w:bookmarkStart w:id="2" w:name="instructions"/>
      <w:r>
        <w:t>Instructions</w:t>
      </w:r>
    </w:p>
    <w:p w14:paraId="3096D350" w14:textId="77777777" w:rsidR="00FA1EA4" w:rsidRDefault="00504BB0">
      <w:pPr>
        <w:pStyle w:val="FirstParagraph"/>
      </w:pPr>
      <w:r>
        <w:t>There are five problems, each worth 20 points. Give complete justification for all assertions by either citing known theorems or giving arguments from first principles.</w:t>
      </w:r>
    </w:p>
    <w:p w14:paraId="25356E52" w14:textId="77777777" w:rsidR="00FA1EA4" w:rsidRDefault="00504BB0">
      <w:pPr>
        <w:pStyle w:val="Heading2"/>
      </w:pPr>
      <w:bookmarkStart w:id="3" w:name="problems"/>
      <w:bookmarkEnd w:id="2"/>
      <w:r>
        <w:t>Problems</w:t>
      </w:r>
    </w:p>
    <w:p w14:paraId="0DD5F37E" w14:textId="77777777" w:rsidR="00FA1EA4" w:rsidRDefault="00504BB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differentiable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We say that </w:t>
      </w:r>
      <m:oMath>
        <m:r>
          <w:rPr>
            <w:rFonts w:ascii="Cambria Math" w:hAnsi="Cambria Math"/>
          </w:rPr>
          <m:t>f</m:t>
        </m:r>
      </m:oMath>
      <w:r>
        <w:t xml:space="preserve"> is uniformly differentiable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if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exists a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</w:t>
      </w:r>
    </w:p>
    <w:p w14:paraId="63EAE8FC" w14:textId="77777777" w:rsidR="00FA1EA4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y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ε</m:t>
          </m:r>
        </m:oMath>
      </m:oMathPara>
    </w:p>
    <w:p w14:paraId="45F8FEF0" w14:textId="77777777" w:rsidR="00FA1EA4" w:rsidRDefault="00504BB0">
      <w:pPr>
        <w:numPr>
          <w:ilvl w:val="0"/>
          <w:numId w:val="1"/>
        </w:numPr>
      </w:pPr>
      <w:r>
        <w:t xml:space="preserve">whenever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δ</m:t>
        </m:r>
      </m:oMath>
      <w:r>
        <w:t xml:space="preserve"> with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7C590C89" w14:textId="77777777" w:rsidR="00FA1EA4" w:rsidRDefault="00504BB0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is uniformly differentiable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if and only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is continuous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7F42CB51" w14:textId="77777777" w:rsidR="00FA1EA4" w:rsidRDefault="00504BB0">
      <w:pPr>
        <w:pStyle w:val="Compact"/>
        <w:numPr>
          <w:ilvl w:val="1"/>
          <w:numId w:val="3"/>
        </w:numPr>
      </w:pPr>
      <w:r>
        <w:t xml:space="preserve">Give an example of a function that is differentiable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but fails to be uniformly differentiable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(no proofs required).</w:t>
      </w:r>
    </w:p>
    <w:p w14:paraId="407EE3D4" w14:textId="77777777" w:rsidR="00FA1EA4" w:rsidRDefault="00FA1EA4">
      <w:pPr>
        <w:pStyle w:val="Compact"/>
        <w:numPr>
          <w:ilvl w:val="0"/>
          <w:numId w:val="2"/>
        </w:numPr>
      </w:pPr>
    </w:p>
    <w:p w14:paraId="5EF70A2A" w14:textId="77777777" w:rsidR="00FA1EA4" w:rsidRDefault="00504BB0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cr m:val="double-struck"/>
            <m:sty m:val="p"/>
          </m:rPr>
          <w:rPr>
            <w:rFonts w:ascii="Cambria Math" w:hAnsi="Cambria Math"/>
          </w:rPr>
          <m:t>]→R</m:t>
        </m:r>
      </m:oMath>
      <w:r>
        <w:t xml:space="preserve">. Give a definition of what it means to say that </w:t>
      </w:r>
      <m:oMath>
        <m:r>
          <w:rPr>
            <w:rFonts w:ascii="Cambria Math" w:hAnsi="Cambria Math"/>
          </w:rPr>
          <m:t>f</m:t>
        </m:r>
      </m:oMath>
      <w:r>
        <w:t xml:space="preserve"> is a Lebesgue measurable function.</w:t>
      </w:r>
    </w:p>
    <w:p w14:paraId="464DD868" w14:textId="77777777" w:rsidR="00FA1EA4" w:rsidRDefault="00504BB0">
      <w:pPr>
        <w:pStyle w:val="Compact"/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finite-valued measurable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Prove that</w:t>
      </w:r>
    </w:p>
    <w:p w14:paraId="3373DDE1" w14:textId="77777777" w:rsidR="00FA1EA4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limsup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</m:oMath>
      </m:oMathPara>
    </w:p>
    <w:p w14:paraId="7F13E13E" w14:textId="77777777" w:rsidR="00FA1EA4" w:rsidRDefault="00504BB0">
      <w:pPr>
        <w:pStyle w:val="Compact"/>
        <w:numPr>
          <w:ilvl w:val="1"/>
          <w:numId w:val="1"/>
        </w:numPr>
      </w:pPr>
      <w:r>
        <w:t>is a measurable function.</w:t>
      </w:r>
    </w:p>
    <w:p w14:paraId="38B505EE" w14:textId="77777777" w:rsidR="00FA1EA4" w:rsidRDefault="00504BB0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Lebesgue integrable functions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Recall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said to converge in measure to </w:t>
      </w:r>
      <m:oMath>
        <m:r>
          <w:rPr>
            <w:rFonts w:ascii="Cambria Math" w:hAnsi="Cambria Math"/>
          </w:rPr>
          <m:t>0</m:t>
        </m:r>
      </m:oMath>
      <w:r>
        <w:t xml:space="preserve"> if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,</w:t>
      </w:r>
    </w:p>
    <w:p w14:paraId="13B13F6D" w14:textId="77777777" w:rsidR="00FA1EA4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{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∈R:|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)|≥</m:t>
              </m:r>
              <m:r>
                <w:rPr>
                  <w:rFonts w:ascii="Cambria Math" w:hAnsi="Cambria Math"/>
                </w:rPr>
                <m:t>ε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1DAE269" w14:textId="77777777" w:rsidR="00FA1EA4" w:rsidRDefault="00504BB0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m</m:t>
        </m:r>
      </m:oMath>
      <w:r>
        <w:t xml:space="preserve"> stands for Lebesgue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152C9743" w14:textId="77777777" w:rsidR="00FA1EA4" w:rsidRDefault="00504BB0">
      <w:pPr>
        <w:pStyle w:val="Compact"/>
        <w:numPr>
          <w:ilvl w:val="1"/>
          <w:numId w:val="5"/>
        </w:numPr>
      </w:pPr>
      <w:r>
        <w:t xml:space="preserve">Give an example to illustrate the fact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in measure does not necessarily imply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6AB392E5" w14:textId="77777777" w:rsidR="00FA1EA4" w:rsidRDefault="00504BB0">
      <w:pPr>
        <w:pStyle w:val="Compact"/>
        <w:numPr>
          <w:ilvl w:val="1"/>
          <w:numId w:val="5"/>
        </w:numPr>
      </w:pPr>
      <w:r>
        <w:t xml:space="preserve">Prove that if we make the additional assumption that there exists an integrable function </w:t>
      </w:r>
      <m:oMath>
        <m:r>
          <w:rPr>
            <w:rFonts w:ascii="Cambria Math" w:hAnsi="Cambria Math"/>
          </w:rPr>
          <m:t>g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g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</m:oMath>
      <w:r>
        <w:t xml:space="preserve">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in measure does imply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061745D1" w14:textId="77777777" w:rsidR="00FA1EA4" w:rsidRDefault="00504BB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</w:t>
      </w:r>
    </w:p>
    <w:p w14:paraId="45DE289C" w14:textId="77777777" w:rsidR="00FA1EA4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φ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</m:oMath>
      </m:oMathPara>
    </w:p>
    <w:p w14:paraId="76C8BFA9" w14:textId="77777777" w:rsidR="00FA1EA4" w:rsidRDefault="00504BB0">
      <w:pPr>
        <w:numPr>
          <w:ilvl w:val="0"/>
          <w:numId w:val="1"/>
        </w:numPr>
      </w:pPr>
      <w: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, then</w:t>
      </w:r>
    </w:p>
    <w:p w14:paraId="0E6DB22E" w14:textId="77777777" w:rsidR="00FA1EA4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15944E3" w14:textId="77777777" w:rsidR="00FA1EA4" w:rsidRDefault="00504BB0">
      <w:pPr>
        <w:numPr>
          <w:ilvl w:val="0"/>
          <w:numId w:val="1"/>
        </w:numPr>
      </w:pPr>
      <w:r>
        <w:t>where</w:t>
      </w:r>
    </w:p>
    <w:p w14:paraId="78B47873" w14:textId="77777777" w:rsidR="00FA1EA4" w:rsidRDefault="00504BB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</m:oMath>
      </m:oMathPara>
    </w:p>
    <w:p w14:paraId="3E7DD8A0" w14:textId="77777777" w:rsidR="00FA1EA4" w:rsidRDefault="00504BB0">
      <w:pPr>
        <w:numPr>
          <w:ilvl w:val="0"/>
          <w:numId w:val="1"/>
        </w:numPr>
      </w:pPr>
      <w:r>
        <w:t xml:space="preserve">denotes the convolution of </w:t>
      </w:r>
      <m:oMath>
        <m:r>
          <w:rPr>
            <w:rFonts w:ascii="Cambria Math" w:hAnsi="Cambria Math"/>
          </w:rPr>
          <m:t>f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>.</w:t>
      </w:r>
    </w:p>
    <w:p w14:paraId="7CEC4DE9" w14:textId="77777777" w:rsidR="00FA1EA4" w:rsidRDefault="00504BB0">
      <w:pPr>
        <w:numPr>
          <w:ilvl w:val="0"/>
          <w:numId w:val="2"/>
        </w:numPr>
      </w:pPr>
      <w:r>
        <w:t xml:space="preserve">For each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≤∞</m:t>
        </m:r>
      </m:oMath>
      <w:r>
        <w:t xml:space="preserve">, define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cr m:val="double-struck"/>
            <m:sty m:val="p"/>
          </m:rPr>
          <w:rPr>
            <w:rFonts w:ascii="Cambria Math" w:hAnsi="Cambria Math"/>
          </w:rPr>
          <m:t>])→R</m:t>
        </m:r>
      </m:oMath>
      <w:r>
        <w:t xml:space="preserve"> by</w:t>
      </w:r>
    </w:p>
    <w:p w14:paraId="1075D10B" w14:textId="77777777" w:rsidR="00FA1EA4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12E14DF8" w14:textId="77777777" w:rsidR="00FA1EA4" w:rsidRDefault="00504BB0">
      <w:pPr>
        <w:numPr>
          <w:ilvl w:val="0"/>
          <w:numId w:val="1"/>
        </w:numPr>
      </w:pPr>
      <w:r>
        <w:t xml:space="preserve">Explain why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is a bounded linear functional and compute its norm (in terms of </w:t>
      </w:r>
      <m:oMath>
        <m:r>
          <w:rPr>
            <w:rFonts w:ascii="Cambria Math" w:hAnsi="Cambria Math"/>
          </w:rPr>
          <m:t>p</m:t>
        </m:r>
      </m:oMath>
      <w:r>
        <w:t>).</w:t>
      </w:r>
      <w:bookmarkEnd w:id="0"/>
      <w:bookmarkEnd w:id="1"/>
      <w:bookmarkEnd w:id="3"/>
    </w:p>
    <w:sectPr w:rsidR="00FA1EA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33E9DA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9E6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DD9E91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508518961">
    <w:abstractNumId w:val="0"/>
  </w:num>
  <w:num w:numId="2" w16cid:durableId="678435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8376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50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3165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A4"/>
    <w:rsid w:val="00180D90"/>
    <w:rsid w:val="002C249D"/>
    <w:rsid w:val="00504BB0"/>
    <w:rsid w:val="009664BD"/>
    <w:rsid w:val="00B32B2D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A762"/>
  <w15:docId w15:val="{35E14277-6316-4DEA-9F10-7F795346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1619</Characters>
  <Application>Microsoft Office Word</Application>
  <DocSecurity>0</DocSecurity>
  <Lines>44</Lines>
  <Paragraphs>35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August 2011</dc:title>
  <dc:creator>Paul Pollack</dc:creator>
  <cp:keywords/>
  <cp:lastModifiedBy>Paul Pollack</cp:lastModifiedBy>
  <cp:revision>3</cp:revision>
  <dcterms:created xsi:type="dcterms:W3CDTF">2026-03-28T16:08:00Z</dcterms:created>
  <dcterms:modified xsi:type="dcterms:W3CDTF">2026-03-28T16:23:00Z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