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ABAA" w14:textId="77777777" w:rsidR="006A665D" w:rsidRDefault="000830FA">
      <w:pPr>
        <w:pStyle w:val="Title"/>
      </w:pPr>
      <w:r>
        <w:t>Real Analysis Qualifying Examination, January 2008</w:t>
      </w:r>
    </w:p>
    <w:p w14:paraId="0F9CF07D" w14:textId="77777777" w:rsidR="006A665D" w:rsidRDefault="000830FA">
      <w:pPr>
        <w:pStyle w:val="Heading2"/>
      </w:pPr>
      <w:bookmarkStart w:id="0" w:name="main-content"/>
      <w:bookmarkStart w:id="1" w:name="instructions-heading"/>
      <w:r>
        <w:t>Instructions</w:t>
      </w:r>
    </w:p>
    <w:p w14:paraId="12C29F44" w14:textId="77777777" w:rsidR="006A665D" w:rsidRDefault="000830FA">
      <w:pPr>
        <w:pStyle w:val="FirstParagraph"/>
      </w:pPr>
      <w:r>
        <w:t>There are five problems, each worth 20 points. Give complete justification for all assertions by either citing known theorems or giving arguments from first principles.</w:t>
      </w:r>
    </w:p>
    <w:p w14:paraId="4F64A9DB" w14:textId="77777777" w:rsidR="006A665D" w:rsidRDefault="000830FA">
      <w:pPr>
        <w:pStyle w:val="Heading2"/>
      </w:pPr>
      <w:bookmarkStart w:id="2" w:name="problems-heading"/>
      <w:bookmarkEnd w:id="1"/>
      <w:r>
        <w:t>Problems</w:t>
      </w:r>
    </w:p>
    <w:p w14:paraId="63D524C2" w14:textId="77777777" w:rsidR="006A665D" w:rsidRDefault="000830FA">
      <w:pPr>
        <w:numPr>
          <w:ilvl w:val="0"/>
          <w:numId w:val="2"/>
        </w:numPr>
      </w:pPr>
      <w:r>
        <w:t xml:space="preserve">For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ln(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. For which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 does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converge? For which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 is </w:t>
      </w:r>
      <m:oMath>
        <m:r>
          <w:rPr>
            <w:rFonts w:ascii="Cambria Math" w:hAnsi="Cambria Math"/>
          </w:rPr>
          <m:t>f</m:t>
        </m:r>
      </m:oMath>
      <w:r>
        <w:t xml:space="preserve"> differentiable?</w:t>
      </w:r>
    </w:p>
    <w:p w14:paraId="02F00F9B" w14:textId="77777777" w:rsidR="006A665D" w:rsidRDefault="006A665D">
      <w:pPr>
        <w:pStyle w:val="Compact"/>
        <w:numPr>
          <w:ilvl w:val="0"/>
          <w:numId w:val="2"/>
        </w:numPr>
      </w:pPr>
    </w:p>
    <w:p w14:paraId="4E935AB7" w14:textId="77777777" w:rsidR="006A665D" w:rsidRDefault="000830FA">
      <w:pPr>
        <w:numPr>
          <w:ilvl w:val="1"/>
          <w:numId w:val="3"/>
        </w:numPr>
      </w:pPr>
      <w:r>
        <w:t xml:space="preserve">Provide an example of a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 xml:space="preserve"> which is continuous when restricted to any line through the origin, but is not continuous at the origin. (Give complete explanations of why your example has the desired property.)</w:t>
      </w:r>
    </w:p>
    <w:p w14:paraId="060BFB2C" w14:textId="77777777" w:rsidR="006A665D" w:rsidRDefault="000830FA">
      <w:pPr>
        <w:numPr>
          <w:ilvl w:val="1"/>
          <w:numId w:val="3"/>
        </w:numPr>
      </w:pPr>
      <w:r>
        <w:t xml:space="preserve">Provide an example of a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 xml:space="preserve"> which is everywhere differentiable when restricted to any line through the origin but is not differentiable at the origin. (Again, be sure to give complete justification that your example works.)</w:t>
      </w:r>
    </w:p>
    <w:p w14:paraId="14AF858D" w14:textId="77777777" w:rsidR="006A665D" w:rsidRDefault="006A665D">
      <w:pPr>
        <w:pStyle w:val="Compact"/>
        <w:numPr>
          <w:ilvl w:val="0"/>
          <w:numId w:val="2"/>
        </w:numPr>
      </w:pPr>
    </w:p>
    <w:p w14:paraId="2CA33F66" w14:textId="77777777" w:rsidR="006A665D" w:rsidRDefault="000830FA">
      <w:pPr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⊆[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Lebesgue measurable set. Prove that</w:t>
      </w:r>
    </w:p>
    <w:p w14:paraId="0DC40958" w14:textId="77777777" w:rsidR="006A665D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2πnx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0 </m:t>
          </m:r>
          <m:r>
            <m:rPr>
              <m:nor/>
            </m:rPr>
            <m:t>as</m:t>
          </m:r>
          <m:r>
            <w:rPr>
              <w:rFonts w:ascii="Cambria Math" w:hAnsi="Cambria Math"/>
            </w:rPr>
            <m:t> n</m:t>
          </m:r>
          <m:r>
            <m:rPr>
              <m:sty m:val="p"/>
            </m:rPr>
            <w:rPr>
              <w:rFonts w:ascii="Cambria Math" w:hAnsi="Cambria Math"/>
            </w:rPr>
            <m:t>→∞</m:t>
          </m:r>
        </m:oMath>
      </m:oMathPara>
    </w:p>
    <w:p w14:paraId="34A72DEA" w14:textId="77777777" w:rsidR="006A665D" w:rsidRDefault="000830FA">
      <w:pPr>
        <w:numPr>
          <w:ilvl w:val="1"/>
          <w:numId w:val="1"/>
        </w:numPr>
      </w:pPr>
      <w:r>
        <w:t xml:space="preserve">by exploiting the fact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2πinx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∈Z</m:t>
            </m:r>
          </m:sub>
        </m:sSub>
      </m:oMath>
      <w:r>
        <w:t xml:space="preserve"> is an orthonormal set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C9945A6" w14:textId="77777777" w:rsidR="006A665D" w:rsidRDefault="000830FA">
      <w:pPr>
        <w:numPr>
          <w:ilvl w:val="1"/>
          <w:numId w:val="4"/>
        </w:numPr>
      </w:pPr>
      <w:r>
        <w:t xml:space="preserve">Show that the above also holds for any measurable set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⊆R</m:t>
        </m:r>
      </m:oMath>
      <w:r>
        <w:t xml:space="preserve"> of finite measure.</w:t>
      </w:r>
    </w:p>
    <w:p w14:paraId="6F11AA66" w14:textId="77777777" w:rsidR="006A665D" w:rsidRDefault="000830F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cr m:val="double-struck"/>
            <m:sty m:val="p"/>
          </m:rPr>
          <w:rPr>
            <w:rFonts w:ascii="Cambria Math" w:hAnsi="Cambria Math"/>
          </w:rPr>
          <m:t>⊂R</m:t>
        </m:r>
      </m:oMath>
      <w:r>
        <w:t xml:space="preserve"> be two Lebesgue measurable sets of finite measure. For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 define the function:</w:t>
      </w:r>
    </w:p>
    <w:p w14:paraId="13C2F4A2" w14:textId="77777777" w:rsidR="006A665D" w:rsidRDefault="000830FA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∩(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))</m:t>
          </m:r>
        </m:oMath>
      </m:oMathPara>
    </w:p>
    <w:p w14:paraId="392F9BC8" w14:textId="77777777" w:rsidR="006A665D" w:rsidRDefault="000830FA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 </m:t>
        </m:r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 b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the translate of the set </w:t>
      </w:r>
      <m:oMath>
        <m:r>
          <w:rPr>
            <w:rFonts w:ascii="Cambria Math" w:hAnsi="Cambria Math"/>
          </w:rPr>
          <m:t>B</m:t>
        </m:r>
      </m:oMath>
      <w:r>
        <w:t xml:space="preserve"> by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72781295" w14:textId="77777777" w:rsidR="006A665D" w:rsidRDefault="000830FA">
      <w:pPr>
        <w:numPr>
          <w:ilvl w:val="0"/>
          <w:numId w:val="1"/>
        </w:numPr>
      </w:pPr>
      <w:r>
        <w:t xml:space="preserve">Prove that </w:t>
      </w:r>
      <m:oMath>
        <m:r>
          <w:rPr>
            <w:rFonts w:ascii="Cambria Math" w:hAnsi="Cambria Math"/>
          </w:rPr>
          <m:t>f</m:t>
        </m:r>
      </m:oMath>
      <w:r>
        <w:t xml:space="preserve"> is measurable, and</w:t>
      </w:r>
    </w:p>
    <w:p w14:paraId="036DD08C" w14:textId="77777777" w:rsidR="006A665D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26E64C6C" w14:textId="77777777" w:rsidR="006A665D" w:rsidRDefault="000830FA">
      <w:pPr>
        <w:numPr>
          <w:ilvl w:val="0"/>
          <w:numId w:val="2"/>
        </w:numPr>
      </w:pPr>
      <w:r>
        <w:lastRenderedPageBreak/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functions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which converges, in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sense, to some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. Prove that there is a subsequence of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which converges pointwise almost everywhere to </w:t>
      </w:r>
      <m:oMath>
        <m:r>
          <w:rPr>
            <w:rFonts w:ascii="Cambria Math" w:hAnsi="Cambria Math"/>
          </w:rPr>
          <m:t>f</m:t>
        </m:r>
      </m:oMath>
      <w:r>
        <w:t>.</w:t>
      </w:r>
      <w:bookmarkEnd w:id="0"/>
      <w:bookmarkEnd w:id="2"/>
    </w:p>
    <w:sectPr w:rsidR="006A665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1C0125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352A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26CE180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29321540">
    <w:abstractNumId w:val="0"/>
  </w:num>
  <w:num w:numId="2" w16cid:durableId="901062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7359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748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5D"/>
    <w:rsid w:val="000830FA"/>
    <w:rsid w:val="00233957"/>
    <w:rsid w:val="00273D73"/>
    <w:rsid w:val="006A665D"/>
    <w:rsid w:val="007C323D"/>
    <w:rsid w:val="00996700"/>
    <w:rsid w:val="00B3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2D626"/>
  <w15:docId w15:val="{16BC015E-C70D-4C06-891B-FAA69CA8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1315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Analysis Qualifying Examination, January 2008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Examination, January 2008</dc:title>
  <dc:creator>Paul Pollack</dc:creator>
  <cp:keywords/>
  <cp:lastModifiedBy>Paul Pollack</cp:lastModifiedBy>
  <cp:revision>3</cp:revision>
  <dcterms:created xsi:type="dcterms:W3CDTF">2026-03-28T16:10:00Z</dcterms:created>
  <dcterms:modified xsi:type="dcterms:W3CDTF">2026-03-28T16:26:00Z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