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20D9" w14:textId="77777777" w:rsidR="002E4114" w:rsidRDefault="00A65A22">
      <w:pPr>
        <w:pStyle w:val="Title"/>
      </w:pPr>
      <w:r>
        <w:t>Real Analysis Qualifying Exam — January 2017</w:t>
      </w:r>
    </w:p>
    <w:p w14:paraId="46798051" w14:textId="77777777" w:rsidR="002E4114" w:rsidRDefault="00A65A22">
      <w:pPr>
        <w:pStyle w:val="Heading2"/>
      </w:pPr>
      <w:bookmarkStart w:id="0" w:name="real-analysis-qualifying-exam"/>
      <w:bookmarkStart w:id="1" w:name="main-content"/>
      <w:bookmarkStart w:id="2" w:name="instructions"/>
      <w:r>
        <w:t>Instructions</w:t>
      </w:r>
    </w:p>
    <w:p w14:paraId="3E3C7CAA" w14:textId="77777777" w:rsidR="002E4114" w:rsidRDefault="00A65A22">
      <w:pPr>
        <w:pStyle w:val="FirstParagraph"/>
      </w:pPr>
      <w:r>
        <w:t>Give clear reasoning. State clearly which theorem you are using. You should not cite anything else such as examples, exercises, or problems. Cross out the parts you do not want to be graded. Problems are not in the order of difficulty.</w:t>
      </w:r>
    </w:p>
    <w:p w14:paraId="31876C69" w14:textId="77777777" w:rsidR="002E4114" w:rsidRDefault="00A65A22">
      <w:pPr>
        <w:pStyle w:val="BodyText"/>
      </w:pPr>
      <w:r>
        <w:t xml:space="preserve">Notation: </w:t>
      </w:r>
      <m:oMath>
        <m:r>
          <w:rPr>
            <w:rFonts w:ascii="Cambria Math" w:hAnsi="Cambria Math"/>
          </w:rPr>
          <m:t>m</m:t>
        </m:r>
      </m:oMath>
      <w:r>
        <w:t xml:space="preserve"> denotes the Lebesgue measure on the set </w:t>
      </w:r>
      <m:oMath>
        <m:r>
          <m:rPr>
            <m:scr m:val="double-struck"/>
            <m:sty m:val="p"/>
          </m:rPr>
          <w:rPr>
            <w:rFonts w:ascii="Cambria Math" w:hAnsi="Cambria Math"/>
          </w:rPr>
          <m:t>R</m:t>
        </m:r>
      </m:oMath>
      <w:r>
        <w:t xml:space="preserve"> of reals.</w:t>
      </w:r>
    </w:p>
    <w:p w14:paraId="3356CC24" w14:textId="77777777" w:rsidR="002E4114" w:rsidRDefault="00A65A22">
      <w:pPr>
        <w:pStyle w:val="Heading2"/>
      </w:pPr>
      <w:bookmarkStart w:id="3" w:name="problems"/>
      <w:bookmarkEnd w:id="2"/>
      <w:r>
        <w:t>Problems</w:t>
      </w:r>
    </w:p>
    <w:p w14:paraId="23E24C4F" w14:textId="77777777" w:rsidR="002E4114" w:rsidRDefault="00A65A22">
      <w:pPr>
        <w:numPr>
          <w:ilvl w:val="0"/>
          <w:numId w:val="2"/>
        </w:numPr>
      </w:pPr>
      <w:r>
        <w:t xml:space="preserve">Let </w:t>
      </w:r>
      <m:oMath>
        <m:r>
          <w:rPr>
            <w:rFonts w:ascii="Cambria Math" w:hAnsi="Cambria Math"/>
          </w:rPr>
          <m:t>K</m:t>
        </m:r>
      </m:oMath>
      <w:r>
        <w:t xml:space="preserve"> be the set of numbers in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whose decimal expansions do not use the digit </w:t>
      </w:r>
      <m:oMath>
        <m:r>
          <w:rPr>
            <w:rFonts w:ascii="Cambria Math" w:hAnsi="Cambria Math"/>
          </w:rPr>
          <m:t>4</m:t>
        </m:r>
      </m:oMath>
      <w:r>
        <w:t xml:space="preserve"> (we use the convention that when a decimal number ends with </w:t>
      </w:r>
      <m:oMath>
        <m:r>
          <w:rPr>
            <w:rFonts w:ascii="Cambria Math" w:hAnsi="Cambria Math"/>
          </w:rPr>
          <m:t>4</m:t>
        </m:r>
      </m:oMath>
      <w:r>
        <w:t xml:space="preserve"> but all other digits are different from </w:t>
      </w:r>
      <m:oMath>
        <m:r>
          <w:rPr>
            <w:rFonts w:ascii="Cambria Math" w:hAnsi="Cambria Math"/>
          </w:rPr>
          <m:t>4</m:t>
        </m:r>
      </m:oMath>
      <w:r>
        <w:t xml:space="preserve">, we replace the digit </w:t>
      </w:r>
      <m:oMath>
        <m:r>
          <w:rPr>
            <w:rFonts w:ascii="Cambria Math" w:hAnsi="Cambria Math"/>
          </w:rPr>
          <m:t>4</m:t>
        </m:r>
      </m:oMath>
      <w:r>
        <w:t xml:space="preserve"> with </w:t>
      </w:r>
      <m:oMath>
        <m:r>
          <w:rPr>
            <w:rFonts w:ascii="Cambria Math" w:hAnsi="Cambria Math"/>
          </w:rPr>
          <m:t>399</m:t>
        </m:r>
        <m:r>
          <m:rPr>
            <m:sty m:val="p"/>
          </m:rPr>
          <w:rPr>
            <w:rFonts w:ascii="Cambria Math" w:hAnsi="Cambria Math"/>
          </w:rPr>
          <m:t>…</m:t>
        </m:r>
      </m:oMath>
      <w:r>
        <w:t xml:space="preserve">. For example, </w:t>
      </w:r>
      <m:oMath>
        <m:r>
          <w:rPr>
            <w:rFonts w:ascii="Cambria Math" w:hAnsi="Cambria Math"/>
          </w:rPr>
          <m:t>0.8754</m:t>
        </m:r>
        <m:r>
          <m:rPr>
            <m:sty m:val="p"/>
          </m:rPr>
          <w:rPr>
            <w:rFonts w:ascii="Cambria Math" w:hAnsi="Cambria Math"/>
          </w:rPr>
          <m:t>=</m:t>
        </m:r>
        <m:r>
          <w:rPr>
            <w:rFonts w:ascii="Cambria Math" w:hAnsi="Cambria Math"/>
          </w:rPr>
          <m:t>0.8753999</m:t>
        </m:r>
        <m:r>
          <m:rPr>
            <m:sty m:val="p"/>
          </m:rPr>
          <w:rPr>
            <w:rFonts w:ascii="Cambria Math" w:hAnsi="Cambria Math"/>
          </w:rPr>
          <m:t>…</m:t>
        </m:r>
      </m:oMath>
      <w:r>
        <w:t xml:space="preserve">.) Show that </w:t>
      </w:r>
      <m:oMath>
        <m:r>
          <w:rPr>
            <w:rFonts w:ascii="Cambria Math" w:hAnsi="Cambria Math"/>
          </w:rPr>
          <m:t>K</m:t>
        </m:r>
      </m:oMath>
      <w:r>
        <w:t xml:space="preserve"> is a compact, nowhere dense set without isolated points, and find the Lebesgue measure </w:t>
      </w:r>
      <m:oMath>
        <m:r>
          <w:rPr>
            <w:rFonts w:ascii="Cambria Math" w:hAnsi="Cambria Math"/>
          </w:rPr>
          <m:t>m</m:t>
        </m:r>
        <m:r>
          <m:rPr>
            <m:sty m:val="p"/>
          </m:rPr>
          <w:rPr>
            <w:rFonts w:ascii="Cambria Math" w:hAnsi="Cambria Math"/>
          </w:rPr>
          <m:t>(</m:t>
        </m:r>
        <m:r>
          <w:rPr>
            <w:rFonts w:ascii="Cambria Math" w:hAnsi="Cambria Math"/>
          </w:rPr>
          <m:t>K</m:t>
        </m:r>
        <m:r>
          <m:rPr>
            <m:sty m:val="p"/>
          </m:rPr>
          <w:rPr>
            <w:rFonts w:ascii="Cambria Math" w:hAnsi="Cambria Math"/>
          </w:rPr>
          <m:t>)</m:t>
        </m:r>
      </m:oMath>
      <w:r>
        <w:t>.</w:t>
      </w:r>
    </w:p>
    <w:p w14:paraId="3B963443" w14:textId="77777777" w:rsidR="002E4114" w:rsidRDefault="00A65A22">
      <w:pPr>
        <w:numPr>
          <w:ilvl w:val="0"/>
          <w:numId w:val="2"/>
        </w:numPr>
      </w:pPr>
      <w:r>
        <w:t xml:space="preserve">(a) Let </w:t>
      </w:r>
      <m:oMath>
        <m:r>
          <w:rPr>
            <w:rFonts w:ascii="Cambria Math" w:hAnsi="Cambria Math"/>
          </w:rPr>
          <m:t>μ</m:t>
        </m:r>
      </m:oMath>
      <w:r>
        <w:t xml:space="preserve"> be a measure on a measurable space </w:t>
      </w:r>
      <m:oMath>
        <m:r>
          <m:rPr>
            <m:sty m:val="p"/>
          </m:rPr>
          <w:rPr>
            <w:rFonts w:ascii="Cambria Math" w:hAnsi="Cambria Math"/>
          </w:rPr>
          <m:t>(</m:t>
        </m:r>
        <m:r>
          <w:rPr>
            <w:rFonts w:ascii="Cambria Math" w:hAnsi="Cambria Math"/>
          </w:rPr>
          <m:t>X</m:t>
        </m:r>
        <m:r>
          <m:rPr>
            <m:scr m:val="script"/>
            <m:sty m:val="p"/>
          </m:rPr>
          <w:rPr>
            <w:rFonts w:ascii="Cambria Math" w:hAnsi="Cambria Math"/>
          </w:rPr>
          <m:t>,M)</m:t>
        </m:r>
      </m:oMath>
      <w:r>
        <w:t xml:space="preserve"> and </w:t>
      </w:r>
      <m:oMath>
        <m:r>
          <w:rPr>
            <w:rFonts w:ascii="Cambria Math" w:hAnsi="Cambria Math"/>
          </w:rPr>
          <m:t>f</m:t>
        </m:r>
      </m:oMath>
      <w:r>
        <w:t xml:space="preserve"> a positive measurable function. Let </w:t>
      </w:r>
      <m:oMath>
        <m:r>
          <w:rPr>
            <w:rFonts w:ascii="Cambria Math" w:hAnsi="Cambria Math"/>
          </w:rPr>
          <m:t>λ</m:t>
        </m:r>
      </m:oMath>
      <w:r>
        <w:t xml:space="preserve"> be the measure defined by</w:t>
      </w:r>
    </w:p>
    <w:p w14:paraId="0C5FC5B6" w14:textId="77777777" w:rsidR="002E4114" w:rsidRDefault="00A65A22">
      <w:pPr>
        <w:pStyle w:val="Compact"/>
      </w:pPr>
      <m:oMathPara>
        <m:oMathParaPr>
          <m:jc m:val="center"/>
        </m:oMathParaPr>
        <m:oMath>
          <m:r>
            <w:rPr>
              <w:rFonts w:ascii="Cambria Math" w:hAnsi="Cambria Math"/>
            </w:rPr>
            <m:t>λ</m:t>
          </m:r>
          <m:r>
            <m:rPr>
              <m:sty m:val="p"/>
            </m:rPr>
            <w:rPr>
              <w:rFonts w:ascii="Cambria Math" w:hAnsi="Cambria Math"/>
            </w:rPr>
            <m:t>(</m:t>
          </m:r>
          <m:r>
            <w:rPr>
              <w:rFonts w:ascii="Cambria Math" w:hAnsi="Cambria Math"/>
            </w:rPr>
            <m:t>E</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r>
                <w:rPr>
                  <w:rFonts w:ascii="Cambria Math" w:hAnsi="Cambria Math"/>
                </w:rPr>
                <m:t>f</m:t>
              </m:r>
            </m:e>
          </m:nary>
          <m:r>
            <w:rPr>
              <w:rFonts w:ascii="Cambria Math" w:hAnsi="Cambria Math"/>
            </w:rPr>
            <m:t> dμ</m:t>
          </m:r>
          <m:r>
            <m:rPr>
              <m:sty m:val="p"/>
            </m:rPr>
            <w:rPr>
              <w:rFonts w:ascii="Cambria Math" w:hAnsi="Cambria Math"/>
            </w:rPr>
            <m:t>,</m:t>
          </m:r>
          <m:r>
            <w:rPr>
              <w:rFonts w:ascii="Cambria Math" w:hAnsi="Cambria Math"/>
            </w:rPr>
            <m:t>  E</m:t>
          </m:r>
          <m:r>
            <m:rPr>
              <m:scr m:val="script"/>
              <m:sty m:val="p"/>
            </m:rPr>
            <w:rPr>
              <w:rFonts w:ascii="Cambria Math" w:hAnsi="Cambria Math"/>
            </w:rPr>
            <m:t>∈M.</m:t>
          </m:r>
        </m:oMath>
      </m:oMathPara>
    </w:p>
    <w:p w14:paraId="513082A6" w14:textId="77777777" w:rsidR="002E4114" w:rsidRDefault="00A65A22">
      <w:pPr>
        <w:numPr>
          <w:ilvl w:val="0"/>
          <w:numId w:val="1"/>
        </w:numPr>
      </w:pPr>
      <w:r>
        <w:t xml:space="preserve">Show that for any positive measurable function </w:t>
      </w:r>
      <m:oMath>
        <m:r>
          <w:rPr>
            <w:rFonts w:ascii="Cambria Math" w:hAnsi="Cambria Math"/>
          </w:rPr>
          <m:t>g</m:t>
        </m:r>
      </m:oMath>
      <w:r>
        <w:t>,</w:t>
      </w:r>
    </w:p>
    <w:p w14:paraId="4D110899" w14:textId="77777777" w:rsidR="002E4114" w:rsidRDefault="00000000">
      <w:pPr>
        <w:pStyle w:val="Compact"/>
      </w:pPr>
      <m:oMathPara>
        <m:oMathParaPr>
          <m:jc m:val="center"/>
        </m:oMathParaPr>
        <m:oMath>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g</m:t>
              </m:r>
            </m:e>
          </m:nary>
          <m:r>
            <w:rPr>
              <w:rFonts w:ascii="Cambria Math" w:hAnsi="Cambria Math"/>
            </w:rPr>
            <m:t> dλ</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w:rPr>
              <w:rFonts w:ascii="Cambria Math" w:hAnsi="Cambria Math"/>
            </w:rPr>
            <m:t>g dμ</m:t>
          </m:r>
          <m:r>
            <m:rPr>
              <m:sty m:val="p"/>
            </m:rPr>
            <w:rPr>
              <w:rFonts w:ascii="Cambria Math" w:hAnsi="Cambria Math"/>
            </w:rPr>
            <m:t>.</m:t>
          </m:r>
        </m:oMath>
      </m:oMathPara>
    </w:p>
    <w:p w14:paraId="2183BDCF" w14:textId="77777777" w:rsidR="002E4114" w:rsidRDefault="00A65A22">
      <w:pPr>
        <w:numPr>
          <w:ilvl w:val="0"/>
          <w:numId w:val="1"/>
        </w:numPr>
      </w:pPr>
      <w:r>
        <w:t xml:space="preserve">(b) Let </w:t>
      </w:r>
      <m:oMath>
        <m:r>
          <w:rPr>
            <w:rFonts w:ascii="Cambria Math" w:hAnsi="Cambria Math"/>
          </w:rPr>
          <m:t>E</m:t>
        </m:r>
        <m:r>
          <m:rPr>
            <m:scr m:val="double-struck"/>
            <m:sty m:val="p"/>
          </m:rPr>
          <w:rPr>
            <w:rFonts w:ascii="Cambria Math" w:hAnsi="Cambria Math"/>
          </w:rPr>
          <m:t>⊂R</m:t>
        </m:r>
      </m:oMath>
      <w:r>
        <w:t xml:space="preserve"> be a Lebesgue measurable set such that </w:t>
      </w:r>
      <m:oMath>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2</m:t>
                </m:r>
              </m:sup>
            </m:sSup>
          </m:e>
        </m:nary>
        <m:r>
          <w:rPr>
            <w:rFonts w:ascii="Cambria Math" w:hAnsi="Cambria Math"/>
          </w:rPr>
          <m:t> dm</m:t>
        </m:r>
        <m:r>
          <m:rPr>
            <m:sty m:val="p"/>
          </m:rPr>
          <w:rPr>
            <w:rFonts w:ascii="Cambria Math" w:hAnsi="Cambria Math"/>
          </w:rPr>
          <m:t>=</m:t>
        </m:r>
        <m:r>
          <w:rPr>
            <w:rFonts w:ascii="Cambria Math" w:hAnsi="Cambria Math"/>
          </w:rPr>
          <m:t>0</m:t>
        </m:r>
      </m:oMath>
      <w:r>
        <w:t xml:space="preserve">. Show that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0</m:t>
        </m:r>
      </m:oMath>
      <w:r>
        <w:t>.</w:t>
      </w:r>
    </w:p>
    <w:p w14:paraId="56157B13" w14:textId="77777777" w:rsidR="002E4114" w:rsidRDefault="00A65A22">
      <w:pPr>
        <w:numPr>
          <w:ilvl w:val="0"/>
          <w:numId w:val="2"/>
        </w:numPr>
      </w:pPr>
      <w:r>
        <w:t xml:space="preserve">Let </w:t>
      </w:r>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nax</m:t>
            </m:r>
          </m:sup>
        </m:sSup>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nbx</m:t>
            </m:r>
          </m:sup>
        </m:sSup>
      </m:oMath>
      <w:r>
        <w:t xml:space="preserve"> where </w:t>
      </w:r>
      <m:oMath>
        <m:r>
          <w:rPr>
            <w:rFonts w:ascii="Cambria Math" w:hAnsi="Cambria Math"/>
          </w:rPr>
          <m:t>0</m:t>
        </m:r>
        <m:r>
          <m:rPr>
            <m:sty m:val="p"/>
          </m:rPr>
          <w:rPr>
            <w:rFonts w:ascii="Cambria Math" w:hAnsi="Cambria Math"/>
          </w:rPr>
          <m:t>&lt;</m:t>
        </m:r>
        <m:r>
          <w:rPr>
            <w:rFonts w:ascii="Cambria Math" w:hAnsi="Cambria Math"/>
          </w:rPr>
          <m:t>a</m:t>
        </m:r>
        <m:r>
          <m:rPr>
            <m:sty m:val="p"/>
          </m:rPr>
          <w:rPr>
            <w:rFonts w:ascii="Cambria Math" w:hAnsi="Cambria Math"/>
          </w:rPr>
          <m:t>&lt;</m:t>
        </m:r>
        <m:r>
          <w:rPr>
            <w:rFonts w:ascii="Cambria Math" w:hAnsi="Cambria Math"/>
          </w:rPr>
          <m:t>b</m:t>
        </m:r>
      </m:oMath>
      <w:r>
        <w:t>. Show that</w:t>
      </w:r>
    </w:p>
    <w:p w14:paraId="111F6FAE" w14:textId="77777777" w:rsidR="002E4114" w:rsidRDefault="00000000">
      <w:pPr>
        <w:numPr>
          <w:ilvl w:val="1"/>
          <w:numId w:val="3"/>
        </w:numPr>
      </w:p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oMath>
      <w:r w:rsidR="00A65A22">
        <w:t xml:space="preserve"> is not in </w:t>
      </w:r>
      <m:oMath>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m</m:t>
        </m:r>
        <m:r>
          <m:rPr>
            <m:sty m:val="p"/>
          </m:rPr>
          <w:rPr>
            <w:rFonts w:ascii="Cambria Math" w:hAnsi="Cambria Math"/>
          </w:rPr>
          <m:t>)</m:t>
        </m:r>
      </m:oMath>
      <w:r w:rsidR="00A65A22">
        <w:t xml:space="preserve">. Hint: </w:t>
      </w:r>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oMath>
      <w:r w:rsidR="00A65A22">
        <w:t xml:space="preserve"> has a root </w:t>
      </w:r>
      <m:oMath>
        <m:sSub>
          <m:sSubPr>
            <m:ctrlPr>
              <w:rPr>
                <w:rFonts w:ascii="Cambria Math" w:hAnsi="Cambria Math"/>
              </w:rPr>
            </m:ctrlPr>
          </m:sSubPr>
          <m:e>
            <m:r>
              <w:rPr>
                <w:rFonts w:ascii="Cambria Math" w:hAnsi="Cambria Math"/>
              </w:rPr>
              <m:t>x</m:t>
            </m:r>
          </m:e>
          <m:sub>
            <m:r>
              <w:rPr>
                <w:rFonts w:ascii="Cambria Math" w:hAnsi="Cambria Math"/>
              </w:rPr>
              <m:t>n</m:t>
            </m:r>
          </m:sub>
        </m:sSub>
      </m:oMath>
      <w:r w:rsidR="00A65A22">
        <w:t>.</w:t>
      </w:r>
    </w:p>
    <w:p w14:paraId="7E0C2FA3" w14:textId="77777777" w:rsidR="002E4114" w:rsidRDefault="00000000">
      <w:pPr>
        <w:numPr>
          <w:ilvl w:val="1"/>
          <w:numId w:val="3"/>
        </w:numPr>
      </w:p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n</m:t>
                </m:r>
              </m:sub>
            </m:sSub>
          </m:e>
        </m:nary>
      </m:oMath>
      <w:r w:rsidR="00A65A22">
        <w:t xml:space="preserve"> is in </w:t>
      </w:r>
      <m:oMath>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m</m:t>
        </m:r>
        <m:r>
          <m:rPr>
            <m:sty m:val="p"/>
          </m:rPr>
          <w:rPr>
            <w:rFonts w:ascii="Cambria Math" w:hAnsi="Cambria Math"/>
          </w:rPr>
          <m:t>)</m:t>
        </m:r>
      </m:oMath>
      <w:r w:rsidR="00A65A22">
        <w:t xml:space="preserve"> and </w:t>
      </w: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n</m:t>
                    </m:r>
                  </m:sub>
                </m:sSub>
              </m:e>
            </m:nary>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dm</m:t>
        </m:r>
        <m:r>
          <m:rPr>
            <m:sty m:val="p"/>
          </m:rPr>
          <w:rPr>
            <w:rFonts w:ascii="Cambria Math" w:hAnsi="Cambria Math"/>
          </w:rPr>
          <m:t>=ln</m:t>
        </m:r>
        <m:f>
          <m:fPr>
            <m:ctrlPr>
              <w:rPr>
                <w:rFonts w:ascii="Cambria Math" w:hAnsi="Cambria Math"/>
              </w:rPr>
            </m:ctrlPr>
          </m:fPr>
          <m:num>
            <m:r>
              <w:rPr>
                <w:rFonts w:ascii="Cambria Math" w:hAnsi="Cambria Math"/>
              </w:rPr>
              <m:t>b</m:t>
            </m:r>
          </m:num>
          <m:den>
            <m:r>
              <w:rPr>
                <w:rFonts w:ascii="Cambria Math" w:hAnsi="Cambria Math"/>
              </w:rPr>
              <m:t>a</m:t>
            </m:r>
          </m:den>
        </m:f>
      </m:oMath>
      <w:r w:rsidR="00A65A22">
        <w:t>.</w:t>
      </w:r>
    </w:p>
    <w:p w14:paraId="348C80B8" w14:textId="77777777" w:rsidR="002E4114" w:rsidRDefault="00A65A22">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be the function on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defined by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xy</m:t>
            </m:r>
          </m:num>
          <m:den>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oMath>
      <w:r>
        <w:t xml:space="preserve"> if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and </w:t>
      </w: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w:r>
        <w:t xml:space="preserve">. Determine if </w:t>
      </w:r>
      <m:oMath>
        <m:r>
          <w:rPr>
            <w:rFonts w:ascii="Cambria Math" w:hAnsi="Cambria Math"/>
          </w:rPr>
          <m:t>f</m:t>
        </m:r>
      </m:oMath>
      <w:r>
        <w:t xml:space="preserve"> is integrable and justify your assertion.</w:t>
      </w:r>
    </w:p>
    <w:p w14:paraId="0D32DA1B" w14:textId="77777777" w:rsidR="002E4114" w:rsidRDefault="00A65A22">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2</m:t>
            </m:r>
          </m:sup>
        </m:sSup>
        <m:r>
          <m:rPr>
            <m:scr m:val="double-struck"/>
            <m:sty m:val="p"/>
          </m:rPr>
          <w:rPr>
            <w:rFonts w:ascii="Cambria Math" w:hAnsi="Cambria Math"/>
          </w:rPr>
          <m:t>(R)</m:t>
        </m:r>
      </m:oMath>
      <w:r>
        <w:t>. Prove that the formula</w:t>
      </w:r>
    </w:p>
    <w:p w14:paraId="72E5E751" w14:textId="77777777" w:rsidR="002E4114" w:rsidRDefault="00A65A22">
      <w:pPr>
        <w:pStyle w:val="Compact"/>
      </w:pPr>
      <m:oMathPara>
        <m:oMathParaPr>
          <m:jc m:val="center"/>
        </m:oMathParaPr>
        <m:oMath>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dt</m:t>
          </m:r>
        </m:oMath>
      </m:oMathPara>
    </w:p>
    <w:p w14:paraId="78E80063" w14:textId="77777777" w:rsidR="002E4114" w:rsidRDefault="00A65A22">
      <w:pPr>
        <w:numPr>
          <w:ilvl w:val="0"/>
          <w:numId w:val="1"/>
        </w:numPr>
      </w:pPr>
      <w:r>
        <w:lastRenderedPageBreak/>
        <w:t xml:space="preserve">defines a uniformly continuous function </w:t>
      </w:r>
      <m:oMath>
        <m:r>
          <w:rPr>
            <w:rFonts w:ascii="Cambria Math" w:hAnsi="Cambria Math"/>
          </w:rPr>
          <m:t>h</m:t>
        </m:r>
      </m:oMath>
      <w:r>
        <w:t xml:space="preserve"> on </w:t>
      </w:r>
      <m:oMath>
        <m:r>
          <m:rPr>
            <m:scr m:val="double-struck"/>
            <m:sty m:val="p"/>
          </m:rPr>
          <w:rPr>
            <w:rFonts w:ascii="Cambria Math" w:hAnsi="Cambria Math"/>
          </w:rPr>
          <m:t>R</m:t>
        </m:r>
      </m:oMath>
      <w:r>
        <w:t>.</w:t>
      </w:r>
    </w:p>
    <w:p w14:paraId="7763E0CE" w14:textId="77777777" w:rsidR="002E4114" w:rsidRDefault="00A65A22">
      <w:pPr>
        <w:numPr>
          <w:ilvl w:val="0"/>
          <w:numId w:val="2"/>
        </w:numPr>
      </w:pPr>
      <w:r>
        <w:t xml:space="preserve">Show that the space </w:t>
      </w:r>
      <m:oMath>
        <m:sSup>
          <m:sSupPr>
            <m:ctrlPr>
              <w:rPr>
                <w:rFonts w:ascii="Cambria Math" w:hAnsi="Cambria Math"/>
              </w:rPr>
            </m:ctrlPr>
          </m:sSupPr>
          <m:e>
            <m:r>
              <w:rPr>
                <w:rFonts w:ascii="Cambria Math" w:hAnsi="Cambria Math"/>
              </w:rPr>
              <m:t>C</m:t>
            </m:r>
          </m:e>
          <m:sup>
            <m:r>
              <w:rPr>
                <w:rFonts w:ascii="Cambria Math" w:hAnsi="Cambria Math"/>
              </w:rPr>
              <m:t>1</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of continuously differentiable functions </w:t>
      </w:r>
      <m:oMath>
        <m:r>
          <w:rPr>
            <w:rFonts w:ascii="Cambria Math" w:hAnsi="Cambria Math"/>
          </w:rPr>
          <m:t>f</m:t>
        </m:r>
      </m:oMath>
      <w:r>
        <w:t xml:space="preserve"> on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is a Banach space under the norm </w:t>
      </w:r>
      <m:oMath>
        <m:r>
          <m:rPr>
            <m:sty m:val="p"/>
          </m:rPr>
          <w:rPr>
            <w:rFonts w:ascii="Cambria Math" w:hAnsi="Cambria Math"/>
          </w:rPr>
          <m:t>∥</m:t>
        </m:r>
        <m:r>
          <w:rPr>
            <w:rFonts w:ascii="Cambria Math" w:hAnsi="Cambria Math"/>
          </w:rPr>
          <m:t>f</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sSub>
          <m:sSubPr>
            <m:ctrlPr>
              <w:rPr>
                <w:rFonts w:ascii="Cambria Math" w:hAnsi="Cambria Math"/>
              </w:rPr>
            </m:ctrlPr>
          </m:sSubPr>
          <m:e>
            <m:r>
              <m:rPr>
                <m:sty m:val="p"/>
              </m:rPr>
              <w:rPr>
                <w:rFonts w:ascii="Cambria Math" w:hAnsi="Cambria Math"/>
              </w:rPr>
              <m:t>sup</m:t>
            </m:r>
          </m:e>
          <m:sub>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m:rPr>
                <m:sty m:val="p"/>
              </m:rPr>
              <w:rPr>
                <w:rFonts w:ascii="Cambria Math" w:hAnsi="Cambria Math"/>
              </w:rPr>
              <m:t>sup</m:t>
            </m:r>
          </m:e>
          <m:sub>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ub>
        </m:sSub>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oMath>
      <w:r>
        <w:t>. (No need to show this is a norm.)</w:t>
      </w:r>
      <w:bookmarkEnd w:id="0"/>
      <w:bookmarkEnd w:id="1"/>
      <w:bookmarkEnd w:id="3"/>
    </w:p>
    <w:sectPr w:rsidR="002E411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95A77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A9FE0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D2328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513640663">
    <w:abstractNumId w:val="0"/>
  </w:num>
  <w:num w:numId="2" w16cid:durableId="1691251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709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14"/>
    <w:rsid w:val="001A5E76"/>
    <w:rsid w:val="001C6B78"/>
    <w:rsid w:val="00261EB0"/>
    <w:rsid w:val="002E4114"/>
    <w:rsid w:val="00A65A22"/>
    <w:rsid w:val="00B3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A54B"/>
  <w15:docId w15:val="{F255D07B-3EAE-4875-B733-8061B07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1545</Characters>
  <Application>Microsoft Office Word</Application>
  <DocSecurity>0</DocSecurity>
  <Lines>42</Lines>
  <Paragraphs>34</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 January 2017</dc:title>
  <dc:creator>Paul Pollack</dc:creator>
  <cp:keywords/>
  <cp:lastModifiedBy>Paul Pollack</cp:lastModifiedBy>
  <cp:revision>3</cp:revision>
  <dcterms:created xsi:type="dcterms:W3CDTF">2026-03-28T16:10:00Z</dcterms:created>
  <dcterms:modified xsi:type="dcterms:W3CDTF">2026-03-28T16:19:00Z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