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0385" w14:textId="77777777" w:rsidR="00DB5C45" w:rsidRDefault="00160146">
      <w:pPr>
        <w:pStyle w:val="Title"/>
      </w:pPr>
      <w:r>
        <w:t>Topology Qualifying Exam Fall 2019</w:t>
      </w:r>
    </w:p>
    <w:p w14:paraId="2EAB9F17" w14:textId="77777777" w:rsidR="00DB5C45" w:rsidRDefault="00160146">
      <w:pPr>
        <w:pStyle w:val="Heading2"/>
      </w:pPr>
      <w:bookmarkStart w:id="0" w:name="main-content"/>
      <w:bookmarkStart w:id="1" w:name="instructions"/>
      <w:r>
        <w:t>Instructions</w:t>
      </w:r>
    </w:p>
    <w:p w14:paraId="0903017C" w14:textId="77777777" w:rsidR="00DB5C45" w:rsidRDefault="00160146">
      <w:pPr>
        <w:pStyle w:val="FirstParagraph"/>
      </w:pPr>
      <w:r>
        <w:t>Work on the first two and 6 of the last 7 problems. Give clear explanations and complete proofs. If you work on all 7 of the last 7 problems, be sure to cross out the one you do not want graded, otherwise the first 6 to appear will be graded.</w:t>
      </w:r>
    </w:p>
    <w:p w14:paraId="535CBA80" w14:textId="77777777" w:rsidR="00DB5C45" w:rsidRDefault="00160146">
      <w:pPr>
        <w:pStyle w:val="Heading2"/>
      </w:pPr>
      <w:bookmarkStart w:id="2" w:name="problems"/>
      <w:bookmarkEnd w:id="1"/>
      <w:r>
        <w:t>Problems</w:t>
      </w:r>
    </w:p>
    <w:p w14:paraId="276BB324" w14:textId="77777777" w:rsidR="00DB5C45" w:rsidRDefault="00DB5C45">
      <w:pPr>
        <w:pStyle w:val="Compact"/>
        <w:numPr>
          <w:ilvl w:val="0"/>
          <w:numId w:val="2"/>
        </w:numPr>
      </w:pPr>
    </w:p>
    <w:p w14:paraId="69C44278" w14:textId="77777777" w:rsidR="00DB5C45" w:rsidRDefault="00160146">
      <w:pPr>
        <w:pStyle w:val="Compact"/>
        <w:numPr>
          <w:ilvl w:val="1"/>
          <w:numId w:val="3"/>
        </w:numPr>
      </w:pPr>
      <w:r>
        <w:t xml:space="preserve">Prove that the union of a collection of connected subspaces of a topological space </w:t>
      </w:r>
      <m:oMath>
        <m:r>
          <w:rPr>
            <w:rFonts w:ascii="Cambria Math" w:hAnsi="Cambria Math"/>
          </w:rPr>
          <m:t>X</m:t>
        </m:r>
      </m:oMath>
      <w:r>
        <w:t xml:space="preserve"> that have a point in common is connected.</w:t>
      </w:r>
    </w:p>
    <w:p w14:paraId="2936DFFE" w14:textId="77777777" w:rsidR="00DB5C45" w:rsidRDefault="00160146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connected spaces. Prove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endowed with the product topology is connected.</w:t>
      </w:r>
    </w:p>
    <w:p w14:paraId="393BEA6A" w14:textId="77777777" w:rsidR="00DB5C45" w:rsidRDefault="0016014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closed, continuous, surjective map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 xml:space="preserve"> is compact, for each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Y</m:t>
        </m:r>
      </m:oMath>
      <w:r>
        <w:t xml:space="preserve">. Prove that if </w:t>
      </w:r>
      <m:oMath>
        <m:r>
          <w:rPr>
            <w:rFonts w:ascii="Cambria Math" w:hAnsi="Cambria Math"/>
          </w:rPr>
          <m:t>Y</m:t>
        </m:r>
      </m:oMath>
      <w:r>
        <w:t xml:space="preserve"> is compact then </w:t>
      </w:r>
      <m:oMath>
        <m:r>
          <w:rPr>
            <w:rFonts w:ascii="Cambria Math" w:hAnsi="Cambria Math"/>
          </w:rPr>
          <m:t>X</m:t>
        </m:r>
      </m:oMath>
      <w:r>
        <w:t xml:space="preserve"> is compact.</w:t>
      </w:r>
    </w:p>
    <w:p w14:paraId="4A9CC7DD" w14:textId="77777777" w:rsidR="00DB5C45" w:rsidRDefault="00160146">
      <w:pPr>
        <w:numPr>
          <w:ilvl w:val="0"/>
          <w:numId w:val="1"/>
        </w:numPr>
      </w:pPr>
      <w:r>
        <w:rPr>
          <w:b/>
          <w:bCs/>
        </w:rPr>
        <w:t>Hint:</w:t>
      </w:r>
      <w:r>
        <w:t xml:space="preserve"> You may want to start the proof by showing that if </w:t>
      </w:r>
      <m:oMath>
        <m:r>
          <w:rPr>
            <w:rFonts w:ascii="Cambria Math" w:hAnsi="Cambria Math"/>
          </w:rPr>
          <m:t>U</m:t>
        </m:r>
      </m:oMath>
      <w:r>
        <w:t xml:space="preserve"> is an open set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})⊂</m:t>
        </m:r>
        <m:r>
          <w:rPr>
            <w:rFonts w:ascii="Cambria Math" w:hAnsi="Cambria Math"/>
          </w:rPr>
          <m:t>U</m:t>
        </m:r>
      </m:oMath>
      <w:r>
        <w:t xml:space="preserve">, then there exist a neighborhood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of </w:t>
      </w:r>
      <m:oMath>
        <m:r>
          <w:rPr>
            <w:rFonts w:ascii="Cambria Math" w:hAnsi="Cambria Math"/>
          </w:rPr>
          <m:t>y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)⊂</m:t>
        </m:r>
        <m:r>
          <w:rPr>
            <w:rFonts w:ascii="Cambria Math" w:hAnsi="Cambria Math"/>
          </w:rPr>
          <m:t>U</m:t>
        </m:r>
      </m:oMath>
      <w:r>
        <w:t>.</w:t>
      </w:r>
    </w:p>
    <w:p w14:paraId="7BAC3D93" w14:textId="77777777" w:rsidR="00DB5C45" w:rsidRDefault="00160146">
      <w:pPr>
        <w:pStyle w:val="Compact"/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the torus, represented by a labelled rectangle in the usual way. Let </w:t>
      </w:r>
      <m:oMath>
        <m:r>
          <w:rPr>
            <w:rFonts w:ascii="Cambria Math" w:hAnsi="Cambria Math"/>
          </w:rPr>
          <m:t>S</m:t>
        </m:r>
      </m:oMath>
      <w:r>
        <w:t xml:space="preserve"> be the sub-complex represented by the top edge of the rectangle (the longitude of the torus). Compute the relative homology groups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cr m:val="double-struck"/>
            <m:sty m:val="p"/>
          </m:rPr>
          <w:rPr>
            <w:rFonts w:ascii="Cambria Math" w:hAnsi="Cambria Math"/>
          </w:rPr>
          <m:t>;Z)</m:t>
        </m:r>
      </m:oMath>
      <w:r>
        <w:t>.</w:t>
      </w:r>
    </w:p>
    <w:p w14:paraId="19C33DDF" w14:textId="77777777" w:rsidR="00DB5C45" w:rsidRDefault="0016014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space constructed by identifying the boundary of a Möbius band </w:t>
      </w:r>
      <m:oMath>
        <m:r>
          <w:rPr>
            <w:rFonts w:ascii="Cambria Math" w:hAnsi="Cambria Math"/>
          </w:rPr>
          <m:t>M</m:t>
        </m:r>
      </m:oMath>
      <w:r>
        <w:t xml:space="preserve"> with longitude of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Compute the fundamental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homology groups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>.</w:t>
      </w:r>
    </w:p>
    <w:p w14:paraId="72294516" w14:textId="77777777" w:rsidR="00DB5C45" w:rsidRDefault="00160146">
      <w:pPr>
        <w:numPr>
          <w:ilvl w:val="0"/>
          <w:numId w:val="2"/>
        </w:numPr>
      </w:pPr>
      <w:r>
        <w:t xml:space="preserve">Define the suspension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be the space obtained from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 contracting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a point </w:t>
      </w:r>
      <m:oMath>
        <m:r>
          <w:rPr>
            <w:rFonts w:ascii="Cambria Math" w:hAnsi="Cambria Math"/>
          </w:rPr>
          <m:t>S</m:t>
        </m:r>
      </m:oMath>
      <w:r>
        <w:t xml:space="preserve"> and contracting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another point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344C5C39" w14:textId="77777777" w:rsidR="00DB5C45" w:rsidRDefault="00160146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Y</m:t>
        </m:r>
      </m:oMath>
      <w:r>
        <w:t xml:space="preserve"> be a disjoint union of two circles. Compute the integer homology groups of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07ABAAA" w14:textId="77777777" w:rsidR="00DB5C45" w:rsidRDefault="00160146">
      <w:pPr>
        <w:pStyle w:val="Compact"/>
        <w:numPr>
          <w:ilvl w:val="1"/>
          <w:numId w:val="4"/>
        </w:numPr>
      </w:pPr>
      <w:r>
        <w:t xml:space="preserve">More generally, for a topological space </w:t>
      </w:r>
      <m:oMath>
        <m:r>
          <w:rPr>
            <w:rFonts w:ascii="Cambria Math" w:hAnsi="Cambria Math"/>
          </w:rPr>
          <m:t>X</m:t>
        </m:r>
      </m:oMath>
      <w:r>
        <w:t xml:space="preserve">, describe the (integer) homology groups of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terms of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F58024C" w14:textId="77777777" w:rsidR="00DB5C45" w:rsidRDefault="00160146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denote a closed surface of genus </w:t>
      </w:r>
      <m:oMath>
        <m:r>
          <w:rPr>
            <w:rFonts w:ascii="Cambria Math" w:hAnsi="Cambria Math"/>
          </w:rPr>
          <m:t>g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 surface of genus </w:t>
      </w:r>
      <m:oMath>
        <m:r>
          <w:rPr>
            <w:rFonts w:ascii="Cambria Math" w:hAnsi="Cambria Math"/>
          </w:rPr>
          <m:t>g</m:t>
        </m:r>
      </m:oMath>
      <w:r>
        <w:t xml:space="preserve"> with </w:t>
      </w:r>
      <m:oMath>
        <m:r>
          <w:rPr>
            <w:rFonts w:ascii="Cambria Math" w:hAnsi="Cambria Math"/>
          </w:rPr>
          <m:t>k</m:t>
        </m:r>
      </m:oMath>
      <w:r>
        <w:t xml:space="preserve"> boundary components (i.e.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with </w:t>
      </w:r>
      <m:oMath>
        <m:r>
          <w:rPr>
            <w:rFonts w:ascii="Cambria Math" w:hAnsi="Cambria Math"/>
          </w:rPr>
          <m:t>k</m:t>
        </m:r>
      </m:oMath>
      <w:r>
        <w:t xml:space="preserve"> disks removed). Which of the surfaces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support a map homotopic to the identity that does not have a fixed point?</w:t>
      </w:r>
    </w:p>
    <w:p w14:paraId="5E5CDEDF" w14:textId="77777777" w:rsidR="00DB5C45" w:rsidRDefault="00160146">
      <w:pPr>
        <w:pStyle w:val="Compact"/>
        <w:numPr>
          <w:ilvl w:val="0"/>
          <w:numId w:val="2"/>
        </w:numPr>
      </w:pPr>
      <w:r>
        <w:t xml:space="preserve">Find all (connected and disconnected) 3-fold covers of the wedge of a circle and the projective plane,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 Justify your answer.</w:t>
      </w:r>
    </w:p>
    <w:p w14:paraId="2BDEF2DF" w14:textId="77777777" w:rsidR="00DB5C45" w:rsidRDefault="00160146">
      <w:pPr>
        <w:pStyle w:val="Compact"/>
        <w:numPr>
          <w:ilvl w:val="0"/>
          <w:numId w:val="2"/>
        </w:numPr>
      </w:pPr>
      <w:r>
        <w:t xml:space="preserve">Show that any continuous map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 homotopic.</w:t>
      </w:r>
    </w:p>
    <w:p w14:paraId="23181108" w14:textId="77777777" w:rsidR="00DB5C45" w:rsidRDefault="00160146">
      <w:pPr>
        <w:pStyle w:val="Compact"/>
        <w:numPr>
          <w:ilvl w:val="0"/>
          <w:numId w:val="2"/>
        </w:numPr>
      </w:pPr>
      <w:r>
        <w:t xml:space="preserve">Does there exist a map of degree 2019 between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?</w:t>
      </w:r>
      <w:bookmarkEnd w:id="0"/>
      <w:bookmarkEnd w:id="2"/>
    </w:p>
    <w:sectPr w:rsidR="00DB5C4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186AF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D78A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FF470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13116959">
    <w:abstractNumId w:val="0"/>
  </w:num>
  <w:num w:numId="2" w16cid:durableId="1244755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828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580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45"/>
    <w:rsid w:val="00160146"/>
    <w:rsid w:val="001F501D"/>
    <w:rsid w:val="002860D6"/>
    <w:rsid w:val="005447AD"/>
    <w:rsid w:val="00AB5A75"/>
    <w:rsid w:val="00D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4FAF"/>
  <w15:docId w15:val="{1005C1E8-B49D-41D3-9435-ACD0861D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1830</Characters>
  <Application>Microsoft Office Word</Application>
  <DocSecurity>0</DocSecurity>
  <Lines>45</Lines>
  <Paragraphs>35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Fall 2019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