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BCB6" w14:textId="77777777" w:rsidR="003029EA" w:rsidRDefault="00F0414F">
      <w:pPr>
        <w:pStyle w:val="Title"/>
      </w:pPr>
      <w:r>
        <w:t>Topology Prelim, Spring 1999</w:t>
      </w:r>
    </w:p>
    <w:p w14:paraId="6FD30411" w14:textId="77777777" w:rsidR="003029EA" w:rsidRDefault="00F0414F">
      <w:pPr>
        <w:pStyle w:val="Heading2"/>
      </w:pPr>
      <w:bookmarkStart w:id="0" w:name="topology-prelim-spring-1999"/>
      <w:bookmarkStart w:id="1" w:name="main-content"/>
      <w:bookmarkStart w:id="2" w:name="instructions"/>
      <w:r>
        <w:t>Instructions</w:t>
      </w:r>
    </w:p>
    <w:p w14:paraId="0D50064D" w14:textId="77777777" w:rsidR="003029EA" w:rsidRDefault="00F0414F">
      <w:pPr>
        <w:pStyle w:val="FirstParagraph"/>
      </w:pPr>
      <w:r>
        <w:t>Attempt all problems. Problems 1-4, 6 and 7 are 10 points each. Problems 5 and 8 are 20 points each.</w:t>
      </w:r>
    </w:p>
    <w:p w14:paraId="520E70D8" w14:textId="77777777" w:rsidR="003029EA" w:rsidRDefault="00F0414F">
      <w:pPr>
        <w:pStyle w:val="Heading2"/>
      </w:pPr>
      <w:bookmarkStart w:id="3" w:name="problems"/>
      <w:bookmarkEnd w:id="2"/>
      <w:r>
        <w:t>Problems</w:t>
      </w:r>
    </w:p>
    <w:p w14:paraId="0F0BE324" w14:textId="77777777" w:rsidR="003029EA" w:rsidRDefault="003029EA">
      <w:pPr>
        <w:pStyle w:val="Compact"/>
        <w:numPr>
          <w:ilvl w:val="0"/>
          <w:numId w:val="2"/>
        </w:numPr>
      </w:pPr>
    </w:p>
    <w:p w14:paraId="5615994B" w14:textId="77777777" w:rsidR="003029EA" w:rsidRDefault="00F0414F">
      <w:pPr>
        <w:pStyle w:val="Compact"/>
        <w:numPr>
          <w:ilvl w:val="1"/>
          <w:numId w:val="3"/>
        </w:numPr>
      </w:pPr>
      <w:r>
        <w:t xml:space="preserve">Let </w:t>
      </w:r>
      <m:oMath>
        <m:r>
          <w:rPr>
            <w:rFonts w:ascii="Cambria Math" w:hAnsi="Cambria Math"/>
          </w:rPr>
          <m:t>S</m:t>
        </m:r>
      </m:oMath>
      <w:r>
        <w:t xml:space="preserve"> be a compact space and let </w:t>
      </w:r>
      <m:oMath>
        <m:r>
          <w:rPr>
            <w:rFonts w:ascii="Cambria Math" w:hAnsi="Cambria Math"/>
          </w:rPr>
          <m:t>T</m:t>
        </m:r>
      </m:oMath>
      <w:r>
        <w:t xml:space="preserve"> be Hausdorff. Prove that any continuous bijection from </w:t>
      </w:r>
      <m:oMath>
        <m:r>
          <w:rPr>
            <w:rFonts w:ascii="Cambria Math" w:hAnsi="Cambria Math"/>
          </w:rPr>
          <m:t>S</m:t>
        </m:r>
      </m:oMath>
      <w:r>
        <w:t xml:space="preserve"> to </w:t>
      </w:r>
      <m:oMath>
        <m:r>
          <w:rPr>
            <w:rFonts w:ascii="Cambria Math" w:hAnsi="Cambria Math"/>
          </w:rPr>
          <m:t>T</m:t>
        </m:r>
      </m:oMath>
      <w:r>
        <w:t xml:space="preserve"> is a homeomorphism.</w:t>
      </w:r>
    </w:p>
    <w:p w14:paraId="15A6BB73" w14:textId="77777777" w:rsidR="003029EA" w:rsidRDefault="00F0414F">
      <w:pPr>
        <w:pStyle w:val="Compact"/>
        <w:numPr>
          <w:ilvl w:val="1"/>
          <w:numId w:val="3"/>
        </w:numPr>
      </w:pPr>
      <w:r>
        <w:t>Show by examples that both assumptions in a) are necessary.</w:t>
      </w:r>
    </w:p>
    <w:p w14:paraId="3871DF27" w14:textId="77777777" w:rsidR="003029EA" w:rsidRDefault="00F0414F">
      <w:pPr>
        <w:numPr>
          <w:ilvl w:val="0"/>
          <w:numId w:val="2"/>
        </w:numPr>
      </w:pPr>
      <w:r>
        <w:t xml:space="preserve">Let </w:t>
      </w:r>
      <m:oMath>
        <m:r>
          <w:rPr>
            <w:rFonts w:ascii="Cambria Math" w:hAnsi="Cambria Math"/>
          </w:rPr>
          <m:t>C</m:t>
        </m:r>
      </m:oMath>
      <w:r>
        <w:t xml:space="preserve"> be the “deleted comb space”</w:t>
      </w:r>
    </w:p>
    <w:p w14:paraId="038AB3BD" w14:textId="77777777" w:rsidR="003029EA" w:rsidRDefault="00F0414F">
      <w:pPr>
        <w:pStyle w:val="BodyText"/>
      </w:pPr>
      <m:oMathPara>
        <m:oMathParaPr>
          <m:jc m:val="center"/>
        </m:oMathParaPr>
        <m:oMath>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d>
            <m:dPr>
              <m:ctrlPr>
                <w:rPr>
                  <w:rFonts w:ascii="Cambria Math" w:hAnsi="Cambria Math"/>
                </w:rPr>
              </m:ctrlPr>
            </m:dPr>
            <m:e>
              <m:limLow>
                <m:limLowPr>
                  <m:ctrlPr>
                    <w:rPr>
                      <w:rFonts w:ascii="Cambria Math" w:hAnsi="Cambria Math"/>
                    </w:rPr>
                  </m:ctrlPr>
                </m:limLowPr>
                <m:e>
                  <m:r>
                    <m:rPr>
                      <m:sty m:val="p"/>
                    </m:rPr>
                    <w:rPr>
                      <w:rFonts w:ascii="Cambria Math" w:hAnsi="Cambria Math"/>
                    </w:rPr>
                    <m:t>⋃</m:t>
                  </m:r>
                </m:e>
                <m:lim>
                  <m:r>
                    <w:rPr>
                      <w:rFonts w:ascii="Cambria Math" w:hAnsi="Cambria Math"/>
                    </w:rPr>
                    <m:t>n</m:t>
                  </m:r>
                </m:lim>
              </m:limLow>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n</m:t>
                      </m:r>
                    </m:den>
                  </m:f>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2</m:t>
              </m:r>
            </m:sup>
          </m:sSup>
        </m:oMath>
      </m:oMathPara>
    </w:p>
    <w:p w14:paraId="7B1E0198" w14:textId="77777777" w:rsidR="003029EA" w:rsidRDefault="00F0414F">
      <w:pPr>
        <w:pStyle w:val="Figure"/>
        <w:numPr>
          <w:ilvl w:val="0"/>
          <w:numId w:val="1"/>
        </w:numPr>
      </w:pPr>
      <w:r>
        <w:rPr>
          <w:noProof/>
        </w:rPr>
        <w:drawing>
          <wp:inline distT="0" distB="0" distL="0" distR="0" wp14:anchorId="08BC6DD3" wp14:editId="2D7D566D">
            <wp:extent cx="4620696" cy="2540000"/>
            <wp:effectExtent l="0" t="0" r="8890" b="0"/>
            <wp:docPr id="11" name="Picture" descr="Schematic of the deleted comb space: a horizontal interval from 0 to 1 with the endpoints marked on the baseline, and many vertical line segments rising from points in the interval. Several closely spaced vertical segments cluster near the left side, with ellipses indicating omitted intermediate segments, and additional segments are shown at 1/3, 1/2, and at 1. The points p and q are labeled near the top left and top right, respectively."/>
            <wp:cNvGraphicFramePr/>
            <a:graphic xmlns:a="http://schemas.openxmlformats.org/drawingml/2006/main">
              <a:graphicData uri="http://schemas.openxmlformats.org/drawingml/2006/picture">
                <pic:pic xmlns:pic="http://schemas.openxmlformats.org/drawingml/2006/picture">
                  <pic:nvPicPr>
                    <pic:cNvPr id="12" name="Picture" descr="./Topology%20%5BSpring%201999%5D_images/13bc6eb6-0887-4997-87f8-12f979fc721d-1_276_521_1009_790.jpg"/>
                    <pic:cNvPicPr>
                      <a:picLocks noChangeAspect="1" noChangeArrowheads="1"/>
                    </pic:cNvPicPr>
                  </pic:nvPicPr>
                  <pic:blipFill>
                    <a:blip r:embed="rId5"/>
                    <a:stretch>
                      <a:fillRect/>
                    </a:stretch>
                  </pic:blipFill>
                  <pic:spPr bwMode="auto">
                    <a:xfrm>
                      <a:off x="0" y="0"/>
                      <a:ext cx="4622195" cy="2540824"/>
                    </a:xfrm>
                    <a:prstGeom prst="rect">
                      <a:avLst/>
                    </a:prstGeom>
                    <a:noFill/>
                    <a:ln w="9525">
                      <a:noFill/>
                      <a:headEnd/>
                      <a:tailEnd/>
                    </a:ln>
                  </pic:spPr>
                </pic:pic>
              </a:graphicData>
            </a:graphic>
          </wp:inline>
        </w:drawing>
      </w:r>
    </w:p>
    <w:p w14:paraId="49301D4D" w14:textId="77777777" w:rsidR="003029EA" w:rsidRDefault="00F0414F">
      <w:pPr>
        <w:numPr>
          <w:ilvl w:val="0"/>
          <w:numId w:val="1"/>
        </w:numPr>
      </w:pPr>
      <w:r>
        <w:t xml:space="preserve">Show that </w:t>
      </w:r>
      <m:oMath>
        <m:r>
          <w:rPr>
            <w:rFonts w:ascii="Cambria Math" w:hAnsi="Cambria Math"/>
          </w:rPr>
          <m:t>C</m:t>
        </m:r>
      </m:oMath>
      <w:r>
        <w:t xml:space="preserve"> is connected but not locally connected and not path connected.</w:t>
      </w:r>
    </w:p>
    <w:p w14:paraId="55E10131" w14:textId="77777777" w:rsidR="003029EA" w:rsidRDefault="00F0414F">
      <w:pPr>
        <w:pStyle w:val="Compact"/>
        <w:numPr>
          <w:ilvl w:val="0"/>
          <w:numId w:val="2"/>
        </w:numPr>
      </w:pPr>
      <w:r>
        <w:t xml:space="preserve">Show by example that a quotient space of a </w:t>
      </w:r>
      <w:proofErr w:type="spellStart"/>
      <w:r>
        <w:t>Hausdorff</w:t>
      </w:r>
      <w:proofErr w:type="spellEnd"/>
      <w:r>
        <w:t xml:space="preserve"> space need not be </w:t>
      </w:r>
      <w:proofErr w:type="spellStart"/>
      <w:r>
        <w:t>Hausdorff</w:t>
      </w:r>
      <w:proofErr w:type="spellEnd"/>
      <w:r>
        <w:t>.</w:t>
      </w:r>
    </w:p>
    <w:p w14:paraId="33F7960F" w14:textId="77777777" w:rsidR="003029EA" w:rsidRDefault="00F0414F">
      <w:pPr>
        <w:pStyle w:val="Compact"/>
        <w:numPr>
          <w:ilvl w:val="0"/>
          <w:numId w:val="2"/>
        </w:numPr>
      </w:pPr>
      <w:r>
        <w:t xml:space="preserve">Classify all covering spaces of </w:t>
      </w:r>
      <m:oMath>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 Show your reasoning.</w:t>
      </w:r>
    </w:p>
    <w:p w14:paraId="3C448E72" w14:textId="77777777" w:rsidR="003029EA" w:rsidRDefault="00F0414F">
      <w:pPr>
        <w:numPr>
          <w:ilvl w:val="0"/>
          <w:numId w:val="2"/>
        </w:numPr>
      </w:pPr>
      <w:r>
        <w:t xml:space="preserve">Let </w:t>
      </w:r>
      <m:oMath>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 xml:space="preserve">, the one-point union of </w:t>
      </w:r>
      <m:oMath>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 and </w:t>
      </w:r>
      <m:oMath>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w:t>
      </w:r>
    </w:p>
    <w:p w14:paraId="2D1992D1" w14:textId="77777777" w:rsidR="003029EA" w:rsidRDefault="00F0414F">
      <w:pPr>
        <w:pStyle w:val="Compact"/>
        <w:numPr>
          <w:ilvl w:val="1"/>
          <w:numId w:val="4"/>
        </w:numPr>
      </w:pPr>
      <w:r>
        <w:t xml:space="preserve">Calculate the fundamental group </w:t>
      </w:r>
      <m:oMath>
        <m:sSub>
          <m:sSubPr>
            <m:ctrlPr>
              <w:rPr>
                <w:rFonts w:ascii="Cambria Math" w:hAnsi="Cambria Math"/>
              </w:rPr>
            </m:ctrlPr>
          </m:sSubPr>
          <m:e>
            <m:r>
              <w:rPr>
                <w:rFonts w:ascii="Cambria Math" w:hAnsi="Cambria Math"/>
              </w:rPr>
              <m:t>π</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oMath>
      <w:r>
        <w:t xml:space="preserve"> (show your work) and describe the universal covering space of </w:t>
      </w:r>
      <m:oMath>
        <m:r>
          <w:rPr>
            <w:rFonts w:ascii="Cambria Math" w:hAnsi="Cambria Math"/>
          </w:rPr>
          <m:t>X</m:t>
        </m:r>
      </m:oMath>
      <w:r>
        <w:t>.</w:t>
      </w:r>
    </w:p>
    <w:p w14:paraId="492228E0" w14:textId="77777777" w:rsidR="003029EA" w:rsidRDefault="00F0414F">
      <w:pPr>
        <w:pStyle w:val="Compact"/>
        <w:numPr>
          <w:ilvl w:val="1"/>
          <w:numId w:val="4"/>
        </w:numPr>
      </w:pPr>
      <w:r>
        <w:t xml:space="preserve">Calculate </w:t>
      </w:r>
      <m:oMath>
        <m:sSub>
          <m:sSubPr>
            <m:ctrlPr>
              <w:rPr>
                <w:rFonts w:ascii="Cambria Math" w:hAnsi="Cambria Math"/>
              </w:rPr>
            </m:ctrlPr>
          </m:sSubPr>
          <m:e>
            <m:r>
              <w:rPr>
                <w:rFonts w:ascii="Cambria Math" w:hAnsi="Cambria Math"/>
              </w:rPr>
              <m:t>H</m:t>
            </m:r>
          </m:e>
          <m:sub>
            <m:r>
              <m:rPr>
                <m:sty m:val="p"/>
              </m:rPr>
              <w:rPr>
                <w:rFonts w:ascii="Cambria Math" w:hAnsi="Cambria Math"/>
              </w:rPr>
              <m:t>*</m:t>
            </m:r>
          </m:sub>
        </m:sSub>
        <m:r>
          <m:rPr>
            <m:sty m:val="p"/>
          </m:rPr>
          <w:rPr>
            <w:rFonts w:ascii="Cambria Math" w:hAnsi="Cambria Math"/>
          </w:rPr>
          <m:t>(</m:t>
        </m:r>
        <m:r>
          <w:rPr>
            <w:rFonts w:ascii="Cambria Math" w:hAnsi="Cambria Math"/>
          </w:rPr>
          <m:t>X</m:t>
        </m:r>
        <m:r>
          <m:rPr>
            <m:scr m:val="double-struck"/>
            <m:sty m:val="p"/>
          </m:rPr>
          <w:rPr>
            <w:rFonts w:ascii="Cambria Math" w:hAnsi="Cambria Math"/>
          </w:rPr>
          <m:t>,Z)</m:t>
        </m:r>
      </m:oMath>
      <w:r>
        <w:t xml:space="preserve"> (show your work).</w:t>
      </w:r>
    </w:p>
    <w:p w14:paraId="3E87081F" w14:textId="77777777" w:rsidR="003029EA" w:rsidRDefault="00F0414F">
      <w:pPr>
        <w:pStyle w:val="Compact"/>
        <w:numPr>
          <w:ilvl w:val="0"/>
          <w:numId w:val="2"/>
        </w:numPr>
      </w:pPr>
      <w:r>
        <w:t xml:space="preserve">Show that </w:t>
      </w:r>
      <m:oMath>
        <m:r>
          <m:rPr>
            <m:sty m:val="p"/>
          </m:rPr>
          <w:rPr>
            <w:rFonts w:ascii="Cambria Math" w:hAnsi="Cambria Math"/>
          </w:rPr>
          <m:t>Free(</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oMath>
      <w:r>
        <w:t xml:space="preserve">, the free group on </w:t>
      </w:r>
      <m:oMath>
        <m:r>
          <w:rPr>
            <w:rFonts w:ascii="Cambria Math" w:hAnsi="Cambria Math"/>
          </w:rPr>
          <m:t>n</m:t>
        </m:r>
      </m:oMath>
      <w:r>
        <w:t xml:space="preserve"> generators, is isomorphic to a subgroup of </w:t>
      </w:r>
      <m:oMath>
        <m:r>
          <m:rPr>
            <m:sty m:val="p"/>
          </m:rPr>
          <w:rPr>
            <w:rFonts w:ascii="Cambria Math" w:hAnsi="Cambria Math"/>
          </w:rPr>
          <m:t>Free(</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the free group </w:t>
      </w:r>
      <w:proofErr w:type="gramStart"/>
      <w:r>
        <w:t>on</w:t>
      </w:r>
      <w:proofErr w:type="gramEnd"/>
      <w:r>
        <w:t xml:space="preserve"> two generators.</w:t>
      </w:r>
    </w:p>
    <w:p w14:paraId="5D4F5292" w14:textId="77777777" w:rsidR="003029EA" w:rsidRDefault="00F0414F">
      <w:pPr>
        <w:pStyle w:val="Compact"/>
        <w:numPr>
          <w:ilvl w:val="0"/>
          <w:numId w:val="2"/>
        </w:numPr>
      </w:pPr>
      <w:r>
        <w:lastRenderedPageBreak/>
        <w:t xml:space="preserve">Let </w:t>
      </w:r>
      <m:oMath>
        <m:sSub>
          <m:sSubPr>
            <m:ctrlPr>
              <w:rPr>
                <w:rFonts w:ascii="Cambria Math" w:hAnsi="Cambria Math"/>
              </w:rPr>
            </m:ctrlPr>
          </m:sSubPr>
          <m:e>
            <m:r>
              <m:rPr>
                <m:sty m:val="p"/>
              </m:rPr>
              <w:rPr>
                <w:rFonts w:ascii="Cambria Math" w:hAnsi="Cambria Math"/>
              </w:rPr>
              <m:t>Σ</m:t>
            </m:r>
          </m:e>
          <m:sub>
            <m:r>
              <w:rPr>
                <w:rFonts w:ascii="Cambria Math" w:hAnsi="Cambria Math"/>
              </w:rPr>
              <m:t>g</m:t>
            </m:r>
          </m:sub>
        </m:sSub>
      </m:oMath>
      <w:r>
        <w:t xml:space="preserve">, </w:t>
      </w:r>
      <m:oMath>
        <m:r>
          <w:rPr>
            <w:rFonts w:ascii="Cambria Math" w:hAnsi="Cambria Math"/>
          </w:rPr>
          <m:t>g</m:t>
        </m:r>
        <m:r>
          <m:rPr>
            <m:sty m:val="p"/>
          </m:rPr>
          <w:rPr>
            <w:rFonts w:ascii="Cambria Math" w:hAnsi="Cambria Math"/>
          </w:rPr>
          <m:t>&gt;</m:t>
        </m:r>
        <m:r>
          <w:rPr>
            <w:rFonts w:ascii="Cambria Math" w:hAnsi="Cambria Math"/>
          </w:rPr>
          <m:t>0</m:t>
        </m:r>
      </m:oMath>
      <w:r>
        <w:t xml:space="preserve">, be a closed oriented surface of genus </w:t>
      </w:r>
      <m:oMath>
        <m:r>
          <w:rPr>
            <w:rFonts w:ascii="Cambria Math" w:hAnsi="Cambria Math"/>
          </w:rPr>
          <m:t>g</m:t>
        </m:r>
      </m:oMath>
      <w:r>
        <w:t xml:space="preserve">. Let </w:t>
      </w:r>
      <m:oMath>
        <m:r>
          <w:rPr>
            <w:rFonts w:ascii="Cambria Math" w:hAnsi="Cambria Math"/>
          </w:rPr>
          <m:t>π</m:t>
        </m:r>
        <m:r>
          <m:rPr>
            <m:sty m:val="p"/>
          </m:rPr>
          <w:rPr>
            <w:rFonts w:ascii="Cambria Math" w:hAnsi="Cambria Math"/>
          </w:rPr>
          <m:t>:Σ→</m:t>
        </m:r>
        <m:sSub>
          <m:sSubPr>
            <m:ctrlPr>
              <w:rPr>
                <w:rFonts w:ascii="Cambria Math" w:hAnsi="Cambria Math"/>
              </w:rPr>
            </m:ctrlPr>
          </m:sSubPr>
          <m:e>
            <m:r>
              <m:rPr>
                <m:sty m:val="p"/>
              </m:rPr>
              <w:rPr>
                <w:rFonts w:ascii="Cambria Math" w:hAnsi="Cambria Math"/>
              </w:rPr>
              <m:t>Σ</m:t>
            </m:r>
          </m:e>
          <m:sub>
            <m:r>
              <w:rPr>
                <w:rFonts w:ascii="Cambria Math" w:hAnsi="Cambria Math"/>
              </w:rPr>
              <m:t>g</m:t>
            </m:r>
          </m:sub>
        </m:sSub>
      </m:oMath>
      <w:r>
        <w:t xml:space="preserve"> be a given connected </w:t>
      </w:r>
      <m:oMath>
        <m:r>
          <w:rPr>
            <w:rFonts w:ascii="Cambria Math" w:hAnsi="Cambria Math"/>
          </w:rPr>
          <m:t>k</m:t>
        </m:r>
      </m:oMath>
      <w:r>
        <w:t xml:space="preserve">-fold cover of </w:t>
      </w:r>
      <m:oMath>
        <m:sSub>
          <m:sSubPr>
            <m:ctrlPr>
              <w:rPr>
                <w:rFonts w:ascii="Cambria Math" w:hAnsi="Cambria Math"/>
              </w:rPr>
            </m:ctrlPr>
          </m:sSubPr>
          <m:e>
            <m:r>
              <m:rPr>
                <m:sty m:val="p"/>
              </m:rPr>
              <w:rPr>
                <w:rFonts w:ascii="Cambria Math" w:hAnsi="Cambria Math"/>
              </w:rPr>
              <m:t>Σ</m:t>
            </m:r>
          </m:e>
          <m:sub>
            <m:r>
              <w:rPr>
                <w:rFonts w:ascii="Cambria Math" w:hAnsi="Cambria Math"/>
              </w:rPr>
              <m:t>g</m:t>
            </m:r>
          </m:sub>
        </m:sSub>
      </m:oMath>
      <w:r>
        <w:t xml:space="preserve">. Given </w:t>
      </w:r>
      <m:oMath>
        <m:r>
          <w:rPr>
            <w:rFonts w:ascii="Cambria Math" w:hAnsi="Cambria Math"/>
          </w:rPr>
          <m:t>g</m:t>
        </m:r>
      </m:oMath>
      <w:r>
        <w:t xml:space="preserve"> and </w:t>
      </w:r>
      <m:oMath>
        <m:r>
          <w:rPr>
            <w:rFonts w:ascii="Cambria Math" w:hAnsi="Cambria Math"/>
          </w:rPr>
          <m:t>k</m:t>
        </m:r>
      </m:oMath>
      <w:r>
        <w:t xml:space="preserve">, determine what topological space </w:t>
      </w:r>
      <m:oMath>
        <m:r>
          <m:rPr>
            <m:sty m:val="p"/>
          </m:rPr>
          <w:rPr>
            <w:rFonts w:ascii="Cambria Math" w:hAnsi="Cambria Math"/>
          </w:rPr>
          <m:t>Σ</m:t>
        </m:r>
      </m:oMath>
      <w:r>
        <w:t xml:space="preserve"> is.</w:t>
      </w:r>
    </w:p>
    <w:p w14:paraId="471F858D" w14:textId="77777777" w:rsidR="003029EA" w:rsidRDefault="003029EA">
      <w:pPr>
        <w:pStyle w:val="Compact"/>
        <w:numPr>
          <w:ilvl w:val="0"/>
          <w:numId w:val="2"/>
        </w:numPr>
      </w:pPr>
    </w:p>
    <w:p w14:paraId="1F535C40" w14:textId="77777777" w:rsidR="003029EA" w:rsidRDefault="00F0414F">
      <w:pPr>
        <w:pStyle w:val="Compact"/>
        <w:numPr>
          <w:ilvl w:val="1"/>
          <w:numId w:val="5"/>
        </w:numPr>
      </w:pPr>
      <w:r>
        <w:t xml:space="preserve">Suppose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sup>
        </m:sSup>
      </m:oMath>
      <w:r>
        <w:t xml:space="preserve"> are maps with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for all </w:t>
      </w:r>
      <m:oMath>
        <m:r>
          <w:rPr>
            <w:rFonts w:ascii="Cambria Math" w:hAnsi="Cambria Math"/>
          </w:rPr>
          <m:t>x</m:t>
        </m:r>
      </m:oMath>
      <w:r>
        <w:t xml:space="preserve"> in </w:t>
      </w:r>
      <m:oMath>
        <m:sSup>
          <m:sSupPr>
            <m:ctrlPr>
              <w:rPr>
                <w:rFonts w:ascii="Cambria Math" w:hAnsi="Cambria Math"/>
              </w:rPr>
            </m:ctrlPr>
          </m:sSupPr>
          <m:e>
            <m:r>
              <w:rPr>
                <w:rFonts w:ascii="Cambria Math" w:hAnsi="Cambria Math"/>
              </w:rPr>
              <m:t>S</m:t>
            </m:r>
          </m:e>
          <m:sup>
            <m:r>
              <w:rPr>
                <w:rFonts w:ascii="Cambria Math" w:hAnsi="Cambria Math"/>
              </w:rPr>
              <m:t>n</m:t>
            </m:r>
          </m:sup>
        </m:sSup>
      </m:oMath>
      <w:r>
        <w:t xml:space="preserve">. Show that </w:t>
      </w:r>
      <m:oMath>
        <m:r>
          <w:rPr>
            <w:rFonts w:ascii="Cambria Math" w:hAnsi="Cambria Math"/>
          </w:rPr>
          <m:t>g</m:t>
        </m:r>
      </m:oMath>
      <w:r>
        <w:t xml:space="preserve"> is homotopic to </w:t>
      </w:r>
      <m:oMath>
        <m:r>
          <w:rPr>
            <w:rFonts w:ascii="Cambria Math" w:hAnsi="Cambria Math"/>
          </w:rPr>
          <m:t>A</m:t>
        </m:r>
        <m:r>
          <m:rPr>
            <m:sty m:val="p"/>
          </m:rPr>
          <w:rPr>
            <w:rFonts w:ascii="Cambria Math" w:hAnsi="Cambria Math"/>
          </w:rPr>
          <m:t>∘</m:t>
        </m:r>
        <m:r>
          <w:rPr>
            <w:rFonts w:ascii="Cambria Math" w:hAnsi="Cambria Math"/>
          </w:rPr>
          <m:t>f</m:t>
        </m:r>
      </m:oMath>
      <w:r>
        <w:t xml:space="preserve"> where </w:t>
      </w:r>
      <m:oMath>
        <m:r>
          <w:rPr>
            <w:rFonts w:ascii="Cambria Math" w:hAnsi="Cambria Math"/>
          </w:rPr>
          <m:t>A</m:t>
        </m:r>
      </m:oMath>
      <w:r>
        <w:t xml:space="preserve"> is the antipodal map </w:t>
      </w:r>
      <m:oMath>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oMath>
      <w:r>
        <w:t>.</w:t>
      </w:r>
    </w:p>
    <w:p w14:paraId="5C06B78C" w14:textId="77777777" w:rsidR="003029EA" w:rsidRDefault="00F0414F">
      <w:pPr>
        <w:pStyle w:val="Compact"/>
        <w:numPr>
          <w:ilvl w:val="1"/>
          <w:numId w:val="5"/>
        </w:numPr>
      </w:pPr>
      <w:r>
        <w:t xml:space="preserve">Use the statement of part a) to show that if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2n</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2n</m:t>
            </m:r>
          </m:sup>
        </m:sSup>
      </m:oMath>
      <w:r>
        <w:t xml:space="preserve"> is a continuous map, then there exists an </w:t>
      </w:r>
      <m:oMath>
        <m:r>
          <w:rPr>
            <w:rFonts w:ascii="Cambria Math" w:hAnsi="Cambria Math"/>
          </w:rPr>
          <m:t>x</m:t>
        </m:r>
      </m:oMath>
      <w:r>
        <w:t xml:space="preserve"> in </w:t>
      </w:r>
      <m:oMath>
        <m:sSup>
          <m:sSupPr>
            <m:ctrlPr>
              <w:rPr>
                <w:rFonts w:ascii="Cambria Math" w:hAnsi="Cambria Math"/>
              </w:rPr>
            </m:ctrlPr>
          </m:sSupPr>
          <m:e>
            <m:r>
              <w:rPr>
                <w:rFonts w:ascii="Cambria Math" w:hAnsi="Cambria Math"/>
              </w:rPr>
              <m:t>S</m:t>
            </m:r>
          </m:e>
          <m:sup>
            <m:r>
              <w:rPr>
                <w:rFonts w:ascii="Cambria Math" w:hAnsi="Cambria Math"/>
              </w:rPr>
              <m:t>2n</m:t>
            </m:r>
          </m:sup>
        </m:sSup>
      </m:oMath>
      <w:r>
        <w:t xml:space="preserve"> with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oMath>
      <w:r>
        <w:t xml:space="preserve"> or there exists a </w:t>
      </w:r>
      <m:oMath>
        <m:r>
          <w:rPr>
            <w:rFonts w:ascii="Cambria Math" w:hAnsi="Cambria Math"/>
          </w:rPr>
          <m:t>y</m:t>
        </m:r>
      </m:oMath>
      <w:r>
        <w:t xml:space="preserve"> in </w:t>
      </w:r>
      <m:oMath>
        <m:sSup>
          <m:sSupPr>
            <m:ctrlPr>
              <w:rPr>
                <w:rFonts w:ascii="Cambria Math" w:hAnsi="Cambria Math"/>
              </w:rPr>
            </m:ctrlPr>
          </m:sSupPr>
          <m:e>
            <m:r>
              <w:rPr>
                <w:rFonts w:ascii="Cambria Math" w:hAnsi="Cambria Math"/>
              </w:rPr>
              <m:t>S</m:t>
            </m:r>
          </m:e>
          <m:sup>
            <m:r>
              <w:rPr>
                <w:rFonts w:ascii="Cambria Math" w:hAnsi="Cambria Math"/>
              </w:rPr>
              <m:t>2n</m:t>
            </m:r>
          </m:sup>
        </m:sSup>
      </m:oMath>
      <w:r>
        <w:t xml:space="preserve"> with </w:t>
      </w:r>
      <m:oMath>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y</m:t>
        </m:r>
      </m:oMath>
      <w:r>
        <w:t>.</w:t>
      </w:r>
      <w:bookmarkEnd w:id="0"/>
      <w:bookmarkEnd w:id="1"/>
      <w:bookmarkEnd w:id="3"/>
    </w:p>
    <w:sectPr w:rsidR="003029E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10419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DF0EA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46826B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98009150">
    <w:abstractNumId w:val="0"/>
  </w:num>
  <w:num w:numId="2" w16cid:durableId="135150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701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88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049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EA"/>
    <w:rsid w:val="003029EA"/>
    <w:rsid w:val="003B151B"/>
    <w:rsid w:val="005447AD"/>
    <w:rsid w:val="00B855DF"/>
    <w:rsid w:val="00D406EE"/>
    <w:rsid w:val="00F0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421D"/>
  <w15:docId w15:val="{05C23E4D-773E-49D8-820B-50A9DA5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1294</Characters>
  <Application>Microsoft Office Word</Application>
  <DocSecurity>0</DocSecurity>
  <Lines>32</Lines>
  <Paragraphs>24</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Topology Prelim, Spring 1999</dc:title>
  <dc:creator>Paul Pollack</dc:creator>
  <cp:keywords/>
  <cp:lastModifiedBy>Paul Pollack</cp:lastModifiedBy>
  <cp:revision>3</cp:revision>
  <dcterms:created xsi:type="dcterms:W3CDTF">2026-03-28T17:17:00Z</dcterms:created>
  <dcterms:modified xsi:type="dcterms:W3CDTF">2026-03-28T17:21:00Z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