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21856" w14:textId="77777777" w:rsidR="00CF07E6" w:rsidRDefault="007B1B64">
      <w:pPr>
        <w:pStyle w:val="Title"/>
      </w:pPr>
      <w:r>
        <w:t>Topology Qualifying Exam, Spring 2021</w:t>
      </w:r>
    </w:p>
    <w:p w14:paraId="3C1B563C" w14:textId="77777777" w:rsidR="00CF07E6" w:rsidRDefault="007B1B64">
      <w:pPr>
        <w:pStyle w:val="Heading2"/>
      </w:pPr>
      <w:bookmarkStart w:id="0" w:name="topology-qualifying-exam-spring-2021"/>
      <w:bookmarkStart w:id="1" w:name="main-content"/>
      <w:bookmarkStart w:id="2" w:name="instructions"/>
      <w:r>
        <w:t>Instructions</w:t>
      </w:r>
    </w:p>
    <w:p w14:paraId="7FC80E5D" w14:textId="77777777" w:rsidR="00CF07E6" w:rsidRDefault="007B1B64">
      <w:pPr>
        <w:pStyle w:val="FirstParagraph"/>
      </w:pPr>
      <w:r>
        <w:t>Please attempt 8 out of 9 problems and clearly mark the one not to be graded.</w:t>
      </w:r>
    </w:p>
    <w:p w14:paraId="38DC0C6F" w14:textId="77777777" w:rsidR="00CF07E6" w:rsidRDefault="007B1B64">
      <w:pPr>
        <w:pStyle w:val="Heading2"/>
      </w:pPr>
      <w:bookmarkStart w:id="3" w:name="problems"/>
      <w:bookmarkEnd w:id="2"/>
      <w:r>
        <w:t>Problems</w:t>
      </w:r>
    </w:p>
    <w:p w14:paraId="6CD5C188" w14:textId="77777777" w:rsidR="00CF07E6" w:rsidRDefault="007B1B64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a topological space, give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X</m:t>
        </m:r>
      </m:oMath>
      <w:r>
        <w:t xml:space="preserve"> the product topology, and let</w:t>
      </w:r>
    </w:p>
    <w:p w14:paraId="5F6E7BFC" w14:textId="77777777" w:rsidR="00CF07E6" w:rsidRDefault="007B1B64"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Δ</m:t>
          </m:r>
          <m:box>
            <m:boxPr>
              <m:opEmu m:val="1"/>
              <m:ctrlPr>
                <w:rPr>
                  <w:rFonts w:ascii="Cambria Math" w:hAnsi="Cambria Math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/>
                </w:rPr>
                <m:t>:=</m:t>
              </m:r>
            </m:e>
          </m:box>
          <m:r>
            <m:rPr>
              <m:sty m:val="p"/>
            </m:rPr>
            <w:rPr>
              <w:rFonts w:ascii="Cambria Math" w:hAnsi="Cambria Math"/>
            </w:rPr>
            <m:t>{(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)∈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×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∈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}.</m:t>
          </m:r>
        </m:oMath>
      </m:oMathPara>
    </w:p>
    <w:p w14:paraId="2C975CDF" w14:textId="77777777" w:rsidR="00CF07E6" w:rsidRDefault="007B1B64">
      <w:pPr>
        <w:numPr>
          <w:ilvl w:val="0"/>
          <w:numId w:val="1"/>
        </w:numPr>
      </w:pPr>
      <w:r>
        <w:t>Show that the following are equivalent:</w:t>
      </w:r>
    </w:p>
    <w:p w14:paraId="45D2A72F" w14:textId="77777777" w:rsidR="00CF07E6" w:rsidRDefault="007B1B64">
      <w:pPr>
        <w:pStyle w:val="Compact"/>
        <w:numPr>
          <w:ilvl w:val="1"/>
          <w:numId w:val="3"/>
        </w:numPr>
      </w:pPr>
      <w:r>
        <w:t xml:space="preserve">The set </w:t>
      </w:r>
      <m:oMath>
        <m:r>
          <m:rPr>
            <m:sty m:val="p"/>
          </m:rPr>
          <w:rPr>
            <w:rFonts w:ascii="Cambria Math" w:hAnsi="Cambria Math"/>
          </w:rPr>
          <m:t>Δ</m:t>
        </m:r>
      </m:oMath>
      <w:r>
        <w:t xml:space="preserve"> is closed in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X</m:t>
        </m:r>
      </m:oMath>
      <w:r>
        <w:t>.</w:t>
      </w:r>
    </w:p>
    <w:p w14:paraId="3D649D8D" w14:textId="77777777" w:rsidR="00CF07E6" w:rsidRDefault="007B1B64">
      <w:pPr>
        <w:pStyle w:val="Compact"/>
        <w:numPr>
          <w:ilvl w:val="1"/>
          <w:numId w:val="3"/>
        </w:numPr>
      </w:pPr>
      <w:r>
        <w:t xml:space="preserve">The space </w:t>
      </w:r>
      <m:oMath>
        <m:r>
          <w:rPr>
            <w:rFonts w:ascii="Cambria Math" w:hAnsi="Cambria Math"/>
          </w:rPr>
          <m:t>X</m:t>
        </m:r>
      </m:oMath>
      <w:r>
        <w:t xml:space="preserve"> is Hausdorff.</w:t>
      </w:r>
    </w:p>
    <w:p w14:paraId="57FCFE24" w14:textId="77777777" w:rsidR="00CF07E6" w:rsidRDefault="007B1B64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chr m:val="∏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{</m:t>
            </m:r>
          </m:e>
        </m:nary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>, endowed with the product topology.</w:t>
      </w:r>
    </w:p>
    <w:p w14:paraId="1FAE95B4" w14:textId="77777777" w:rsidR="00CF07E6" w:rsidRDefault="007B1B64">
      <w:pPr>
        <w:numPr>
          <w:ilvl w:val="1"/>
          <w:numId w:val="4"/>
        </w:numPr>
      </w:pPr>
      <w:r>
        <w:t xml:space="preserve">Show that for all points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X</m:t>
        </m:r>
      </m:oMath>
      <w:r>
        <w:t xml:space="preserve"> with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y</m:t>
        </m:r>
      </m:oMath>
      <w:r>
        <w:t xml:space="preserve">, there are open subsets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</m:oMath>
      <w:r>
        <w:t xml:space="preserve"> of </w:t>
      </w:r>
      <m:oMath>
        <m:r>
          <w:rPr>
            <w:rFonts w:ascii="Cambria Math" w:hAnsi="Cambria Math"/>
          </w:rPr>
          <m:t>X</m:t>
        </m:r>
      </m:oMath>
      <w:r>
        <w:t xml:space="preserve"> such that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>
        <w:t xml:space="preserve">,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</m:oMath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m:rPr>
            <m:sty m:val="p"/>
          </m:rPr>
          <w:rPr>
            <w:rFonts w:ascii="Cambria Math" w:hAnsi="Cambria Math"/>
          </w:rPr>
          <m:t>∪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</m:t>
        </m:r>
      </m:oMath>
      <w:r>
        <w:t xml:space="preserve">,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m:rPr>
            <m:sty m:val="p"/>
          </m:rPr>
          <w:rPr>
            <w:rFonts w:ascii="Cambria Math" w:hAnsi="Cambria Math"/>
          </w:rPr>
          <m:t>∩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r>
          <m:rPr>
            <m:sty m:val="p"/>
          </m:rPr>
          <w:rPr>
            <w:rFonts w:ascii="Cambria Math" w:hAnsi="Cambria Math"/>
          </w:rPr>
          <m:t>=⌀</m:t>
        </m:r>
      </m:oMath>
      <w:r>
        <w:t>.</w:t>
      </w:r>
    </w:p>
    <w:p w14:paraId="07B1E014" w14:textId="77777777" w:rsidR="00CF07E6" w:rsidRDefault="007B1B64">
      <w:pPr>
        <w:numPr>
          <w:ilvl w:val="1"/>
          <w:numId w:val="4"/>
        </w:numPr>
      </w:pPr>
      <w:r>
        <w:t xml:space="preserve">Show that </w:t>
      </w:r>
      <m:oMath>
        <m:r>
          <w:rPr>
            <w:rFonts w:ascii="Cambria Math" w:hAnsi="Cambria Math"/>
          </w:rPr>
          <m:t>X</m:t>
        </m:r>
      </m:oMath>
      <w:r>
        <w:t xml:space="preserve"> is totally disconnected: the only nonempty connected subsets of </w:t>
      </w:r>
      <m:oMath>
        <m:r>
          <w:rPr>
            <w:rFonts w:ascii="Cambria Math" w:hAnsi="Cambria Math"/>
          </w:rPr>
          <m:t>X</m:t>
        </m:r>
      </m:oMath>
      <w:r>
        <w:t xml:space="preserve"> are </w:t>
      </w: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for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X</m:t>
        </m:r>
      </m:oMath>
      <w:r>
        <w:t>.</w:t>
      </w:r>
    </w:p>
    <w:p w14:paraId="4DEE0FE5" w14:textId="77777777" w:rsidR="00CF07E6" w:rsidRDefault="007B1B64">
      <w:pPr>
        <w:numPr>
          <w:ilvl w:val="0"/>
          <w:numId w:val="2"/>
        </w:numPr>
      </w:pPr>
      <w:r>
        <w:t xml:space="preserve">For nonempty subsets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 xml:space="preserve"> of a metric space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the setwise distance is 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r>
          <m:rPr>
            <m:sty m:val="p"/>
          </m:rPr>
          <w:rPr>
            <w:rFonts w:ascii="Cambria Math" w:hAnsi="Cambria Math"/>
          </w:rPr>
          <m:t>inf{</m:t>
        </m:r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)∣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>.</w:t>
      </w:r>
    </w:p>
    <w:p w14:paraId="40E4999C" w14:textId="3BA367AD" w:rsidR="00CF07E6" w:rsidRDefault="007B1B64">
      <w:pPr>
        <w:numPr>
          <w:ilvl w:val="1"/>
          <w:numId w:val="5"/>
        </w:numPr>
      </w:pPr>
      <w:r>
        <w:t xml:space="preserve">Suppose that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 xml:space="preserve"> are compact. Show that there is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B</m:t>
        </m:r>
      </m:oMath>
      <w:r>
        <w:t xml:space="preserve"> such that </w:t>
      </w:r>
      <w:proofErr w:type="gramStart"/>
      <w:r>
        <w:t>\(d(</w:t>
      </w:r>
      <w:proofErr w:type="gramEnd"/>
      <w:r>
        <w:t xml:space="preserve">a, b) = </w:t>
      </w:r>
      <w:proofErr w:type="gramStart"/>
      <w:r>
        <w:t>d(</w:t>
      </w:r>
      <w:proofErr w:type="gramEnd"/>
      <w:r>
        <w:t>A, B).</w:t>
      </w:r>
      <w:r w:rsidR="007D1EB9">
        <w:rPr>
          <w:rStyle w:val="FootnoteReference"/>
        </w:rPr>
        <w:footnoteReference w:id="1"/>
      </w:r>
    </w:p>
    <w:p w14:paraId="1CE5D236" w14:textId="77777777" w:rsidR="00CF07E6" w:rsidRDefault="007B1B64">
      <w:pPr>
        <w:numPr>
          <w:ilvl w:val="1"/>
          <w:numId w:val="5"/>
        </w:numPr>
      </w:pPr>
      <w:r>
        <w:t xml:space="preserve">Suppose that </w:t>
      </w:r>
      <m:oMath>
        <m:r>
          <w:rPr>
            <w:rFonts w:ascii="Cambria Math" w:hAnsi="Cambria Math"/>
          </w:rPr>
          <m:t>A</m:t>
        </m:r>
      </m:oMath>
      <w:r>
        <w:t xml:space="preserve"> is closed and </w:t>
      </w:r>
      <m:oMath>
        <m:r>
          <w:rPr>
            <w:rFonts w:ascii="Cambria Math" w:hAnsi="Cambria Math"/>
          </w:rPr>
          <m:t>B</m:t>
        </m:r>
      </m:oMath>
      <w:r>
        <w:t xml:space="preserve"> is compact. Show: if 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 then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∩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≠⌀</m:t>
        </m:r>
      </m:oMath>
      <w:r>
        <w:t>.</w:t>
      </w:r>
    </w:p>
    <w:p w14:paraId="37BE219B" w14:textId="77777777" w:rsidR="00CF07E6" w:rsidRDefault="007B1B64">
      <w:pPr>
        <w:numPr>
          <w:ilvl w:val="1"/>
          <w:numId w:val="5"/>
        </w:numPr>
      </w:pPr>
      <w:r>
        <w:t xml:space="preserve">Give an example in which </w:t>
      </w:r>
      <m:oMath>
        <m:r>
          <w:rPr>
            <w:rFonts w:ascii="Cambria Math" w:hAnsi="Cambria Math"/>
          </w:rPr>
          <m:t>A</m:t>
        </m:r>
      </m:oMath>
      <w:r>
        <w:t xml:space="preserve"> is closed, </w:t>
      </w:r>
      <m:oMath>
        <m:r>
          <w:rPr>
            <w:rFonts w:ascii="Cambria Math" w:hAnsi="Cambria Math"/>
          </w:rPr>
          <m:t>B</m:t>
        </m:r>
      </m:oMath>
      <w:r>
        <w:t xml:space="preserve"> is compact, and 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)&gt;</m:t>
        </m:r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all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B</m:t>
        </m:r>
      </m:oMath>
      <w:r>
        <w:t xml:space="preserve">. (Suggestion: take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={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}∪(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  <m:r>
          <m:rPr>
            <m:scr m:val="double-struck"/>
            <m:sty m:val="p"/>
          </m:rPr>
          <w:rPr>
            <w:rFonts w:ascii="Cambria Math" w:hAnsi="Cambria Math"/>
          </w:rPr>
          <m:t>]⊂R</m:t>
        </m:r>
      </m:oMath>
      <w:r>
        <w:t>.)</w:t>
      </w:r>
    </w:p>
    <w:p w14:paraId="141C15CC" w14:textId="5D940535" w:rsidR="00CF07E6" w:rsidRDefault="007B1B64">
      <w:pPr>
        <w:numPr>
          <w:ilvl w:val="0"/>
          <w:numId w:val="2"/>
        </w:numPr>
      </w:pPr>
      <w:r>
        <w:t xml:space="preserve">Suppose that </w:t>
      </w:r>
      <m:oMath>
        <m:r>
          <w:rPr>
            <w:rFonts w:ascii="Cambria Math" w:hAnsi="Cambria Math"/>
          </w:rPr>
          <m:t>X</m:t>
        </m:r>
      </m:oMath>
      <w:r>
        <w:t xml:space="preserve"> is a topological space,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X</m:t>
        </m:r>
      </m:oMath>
      <w:r>
        <w:t xml:space="preserve">, and that every continuous map </w:t>
      </w:r>
      <m:oMath>
        <m:r>
          <w:rPr>
            <w:rFonts w:ascii="Cambria Math" w:hAnsi="Cambria Math"/>
          </w:rPr>
          <m:t>γ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X</m:t>
        </m:r>
      </m:oMath>
      <w:r>
        <w:t xml:space="preserve"> is freely</w:t>
      </w:r>
      <w:r w:rsidR="007D1EB9">
        <w:rPr>
          <w:rStyle w:val="FootnoteReference"/>
        </w:rPr>
        <w:footnoteReference w:id="2"/>
      </w:r>
      <w:r>
        <w:t xml:space="preserve"> homotopic to the constant map to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. Prove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)={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>.</w:t>
      </w:r>
    </w:p>
    <w:p w14:paraId="147CE876" w14:textId="77777777" w:rsidR="00CF07E6" w:rsidRDefault="007B1B64">
      <w:pPr>
        <w:numPr>
          <w:ilvl w:val="0"/>
          <w:numId w:val="2"/>
        </w:numPr>
      </w:pPr>
      <w:r>
        <w:lastRenderedPageBreak/>
        <w:t xml:space="preserve">Identify five mutually non-homeomorphic connected spaces </w:t>
      </w:r>
      <m:oMath>
        <m:r>
          <w:rPr>
            <w:rFonts w:ascii="Cambria Math" w:hAnsi="Cambria Math"/>
          </w:rPr>
          <m:t>X</m:t>
        </m:r>
      </m:oMath>
      <w:r>
        <w:t xml:space="preserve"> for which there is a covering map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K</m:t>
        </m:r>
      </m:oMath>
      <w:r>
        <w:t xml:space="preserve">, where </w:t>
      </w:r>
      <m:oMath>
        <m:r>
          <w:rPr>
            <w:rFonts w:ascii="Cambria Math" w:hAnsi="Cambria Math"/>
          </w:rPr>
          <m:t>K</m:t>
        </m:r>
      </m:oMath>
      <w:r>
        <w:t xml:space="preserve"> is the Klein bottle</w:t>
      </w:r>
      <w:proofErr w:type="gramStart"/>
      <w:r>
        <w:t>, giving</w:t>
      </w:r>
      <w:proofErr w:type="gramEnd"/>
      <w:r>
        <w:t xml:space="preserve"> an example of a corresponding covering in each case.</w:t>
      </w:r>
    </w:p>
    <w:p w14:paraId="16EEB6EF" w14:textId="77777777" w:rsidR="00CF07E6" w:rsidRDefault="007B1B64">
      <w:pPr>
        <w:numPr>
          <w:ilvl w:val="0"/>
          <w:numId w:val="2"/>
        </w:numPr>
      </w:pPr>
      <w:r>
        <w:t>For each of the following spaces, compute the fundamental group and the homology groups.</w:t>
      </w:r>
    </w:p>
    <w:p w14:paraId="5EECADEA" w14:textId="77777777" w:rsidR="00CF07E6" w:rsidRDefault="007B1B64">
      <w:pPr>
        <w:numPr>
          <w:ilvl w:val="1"/>
          <w:numId w:val="6"/>
        </w:numPr>
      </w:pPr>
      <w:r>
        <w:t xml:space="preserve">The graph </w:t>
      </w:r>
      <m:oMath>
        <m:r>
          <m:rPr>
            <m:sty m:val="p"/>
          </m:rPr>
          <w:rPr>
            <w:rFonts w:ascii="Cambria Math" w:hAnsi="Cambria Math"/>
          </w:rPr>
          <m:t>Θ</m:t>
        </m:r>
      </m:oMath>
      <w:r>
        <w:t xml:space="preserve"> consisting of two vertices and three edges connecting these vertices.</w:t>
      </w:r>
    </w:p>
    <w:p w14:paraId="38D8C19A" w14:textId="77777777" w:rsidR="00CF07E6" w:rsidRDefault="007B1B64">
      <w:pPr>
        <w:numPr>
          <w:ilvl w:val="1"/>
          <w:numId w:val="6"/>
        </w:numPr>
      </w:pPr>
      <w:r>
        <w:t xml:space="preserve">The two-dimensional cell complex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consisting of a closed circle and three two-dimensional disks each having boundary running once around that circle.</w:t>
      </w:r>
    </w:p>
    <w:p w14:paraId="6E87F162" w14:textId="77777777" w:rsidR="00CF07E6" w:rsidRDefault="007B1B64">
      <w:pPr>
        <w:numPr>
          <w:ilvl w:val="0"/>
          <w:numId w:val="2"/>
        </w:numPr>
      </w:pPr>
      <w:r>
        <w:t xml:space="preserve">Prove directly from the definition that the zeroth singular homology of a nonempty path-connected space is isomorphic to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Z</m:t>
        </m:r>
      </m:oMath>
      <w:r>
        <w:t>.</w:t>
      </w:r>
    </w:p>
    <w:p w14:paraId="70441E88" w14:textId="77777777" w:rsidR="00CF07E6" w:rsidRDefault="007B1B64">
      <w:pPr>
        <w:numPr>
          <w:ilvl w:val="0"/>
          <w:numId w:val="2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g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denote the compact oriented surface of genus </w:t>
      </w:r>
      <m:oMath>
        <m:r>
          <w:rPr>
            <w:rFonts w:ascii="Cambria Math" w:hAnsi="Cambria Math"/>
          </w:rPr>
          <m:t>g</m:t>
        </m:r>
      </m:oMath>
      <w:r>
        <w:t xml:space="preserve"> with </w:t>
      </w:r>
      <m:oMath>
        <m:r>
          <w:rPr>
            <w:rFonts w:ascii="Cambria Math" w:hAnsi="Cambria Math"/>
          </w:rPr>
          <m:t>n</m:t>
        </m:r>
      </m:oMath>
      <w:r>
        <w:t xml:space="preserve"> boundary components.</w:t>
      </w:r>
    </w:p>
    <w:p w14:paraId="005430D6" w14:textId="77777777" w:rsidR="00CF07E6" w:rsidRDefault="007B1B64">
      <w:pPr>
        <w:numPr>
          <w:ilvl w:val="1"/>
          <w:numId w:val="7"/>
        </w:numPr>
      </w:pPr>
      <w:r>
        <w:t xml:space="preserve">Show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3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are both homotopy equivalent to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∨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>.</w:t>
      </w:r>
    </w:p>
    <w:p w14:paraId="38E224BC" w14:textId="77777777" w:rsidR="00CF07E6" w:rsidRDefault="007B1B64">
      <w:pPr>
        <w:numPr>
          <w:ilvl w:val="1"/>
          <w:numId w:val="7"/>
        </w:numPr>
      </w:pPr>
      <w:r>
        <w:t xml:space="preserve">Give a complete classification of pairs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which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g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is </w:t>
      </w:r>
      <w:proofErr w:type="spellStart"/>
      <w:r>
        <w:t>homotopy</w:t>
      </w:r>
      <w:proofErr w:type="spellEnd"/>
      <w:r>
        <w:t xml:space="preserve"> equivalent to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Σ</m:t>
            </m:r>
          </m:e>
          <m:sub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g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p>
          </m:sub>
        </m:sSub>
      </m:oMath>
      <w:r>
        <w:t>.</w:t>
      </w:r>
    </w:p>
    <w:p w14:paraId="56A81378" w14:textId="77777777" w:rsidR="00CF07E6" w:rsidRDefault="007B1B64">
      <w:pPr>
        <w:numPr>
          <w:ilvl w:val="0"/>
          <w:numId w:val="2"/>
        </w:numPr>
      </w:pPr>
      <w:r>
        <w:t xml:space="preserve">Prove that for every continuous map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2n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2n</m:t>
            </m:r>
          </m:sup>
        </m:sSup>
      </m:oMath>
      <w:r>
        <w:t xml:space="preserve"> there is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2n</m:t>
            </m:r>
          </m:sup>
        </m:sSup>
      </m:oMath>
      <w:r>
        <w:t xml:space="preserve"> so that either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x</m:t>
        </m:r>
      </m:oMath>
      <w:r>
        <w:t xml:space="preserve"> or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)=-</m:t>
        </m:r>
        <m:r>
          <w:rPr>
            <w:rFonts w:ascii="Cambria Math" w:hAnsi="Cambria Math"/>
          </w:rPr>
          <m:t>x</m:t>
        </m:r>
      </m:oMath>
      <w:r>
        <w:t xml:space="preserve">. You may use standard facts about degrees of maps of the sphere, including that the antipodal map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2n</m:t>
            </m:r>
          </m:sup>
        </m:sSup>
      </m:oMath>
      <w:r>
        <w:t xml:space="preserve"> has degree </w:t>
      </w: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</m:oMath>
      <w:r>
        <w:t>.</w:t>
      </w:r>
    </w:p>
    <w:bookmarkEnd w:id="0"/>
    <w:bookmarkEnd w:id="1"/>
    <w:bookmarkEnd w:id="3"/>
    <w:p w14:paraId="55E70041" w14:textId="3F0DA4CE" w:rsidR="00CF07E6" w:rsidRDefault="00CF07E6">
      <w:pPr>
        <w:pStyle w:val="BodyText"/>
      </w:pPr>
    </w:p>
    <w:sectPr w:rsidR="00CF07E6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3735A" w14:textId="77777777" w:rsidR="00951A76" w:rsidRDefault="00951A76" w:rsidP="007D1EB9">
      <w:pPr>
        <w:spacing w:after="0"/>
      </w:pPr>
      <w:r>
        <w:separator/>
      </w:r>
    </w:p>
  </w:endnote>
  <w:endnote w:type="continuationSeparator" w:id="0">
    <w:p w14:paraId="60EED30F" w14:textId="77777777" w:rsidR="00951A76" w:rsidRDefault="00951A76" w:rsidP="007D1E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9DF92" w14:textId="77777777" w:rsidR="00951A76" w:rsidRDefault="00951A76" w:rsidP="007D1EB9">
      <w:pPr>
        <w:spacing w:after="0"/>
      </w:pPr>
      <w:r>
        <w:separator/>
      </w:r>
    </w:p>
  </w:footnote>
  <w:footnote w:type="continuationSeparator" w:id="0">
    <w:p w14:paraId="7CD48A76" w14:textId="77777777" w:rsidR="00951A76" w:rsidRDefault="00951A76" w:rsidP="007D1EB9">
      <w:pPr>
        <w:spacing w:after="0"/>
      </w:pPr>
      <w:r>
        <w:continuationSeparator/>
      </w:r>
    </w:p>
  </w:footnote>
  <w:footnote w:id="1">
    <w:p w14:paraId="06CD3ECE" w14:textId="3C55B500" w:rsidR="007D1EB9" w:rsidRPr="007D1EB9" w:rsidRDefault="007D1EB9" w:rsidP="007D1EB9">
      <w:pPr>
        <w:pStyle w:val="FirstParagraph"/>
      </w:pPr>
      <w:r>
        <w:rPr>
          <w:rStyle w:val="FootnoteReference"/>
        </w:rPr>
        <w:footnoteRef/>
      </w:r>
      <w:r>
        <w:t xml:space="preserve"> </w:t>
      </w:r>
      <w:r>
        <w:t xml:space="preserve">Throughout this problem you may use without proof the continuity of 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→R</m:t>
        </m:r>
      </m:oMath>
      <w:r>
        <w:t>.</w:t>
      </w:r>
    </w:p>
  </w:footnote>
  <w:footnote w:id="2">
    <w:p w14:paraId="47E178B7" w14:textId="679AE525" w:rsidR="007D1EB9" w:rsidRDefault="007D1EB9" w:rsidP="007D1EB9">
      <w:pPr>
        <w:pStyle w:val="BodyText"/>
      </w:pPr>
      <w:r>
        <w:rPr>
          <w:rStyle w:val="FootnoteReference"/>
        </w:rPr>
        <w:footnoteRef/>
      </w:r>
      <w:r>
        <w:t xml:space="preserve"> </w:t>
      </w:r>
      <w:r>
        <w:t>i.e., with no conditions on basepoints.</w:t>
      </w:r>
    </w:p>
    <w:p w14:paraId="1298A829" w14:textId="2FE0D8B4" w:rsidR="007D1EB9" w:rsidRPr="007D1EB9" w:rsidRDefault="007D1EB9">
      <w:pPr>
        <w:pStyle w:val="FootnoteText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5AAA30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359051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501"/>
    <w:multiLevelType w:val="multilevel"/>
    <w:tmpl w:val="AE184088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lowerRoman"/>
      <w:lvlText w:val="%7."/>
      <w:lvlJc w:val="left"/>
      <w:pPr>
        <w:ind w:left="5040" w:hanging="360"/>
      </w:pPr>
    </w:lvl>
    <w:lvl w:ilvl="7">
      <w:start w:val="1"/>
      <w:numFmt w:val="lowerRoman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0A99701"/>
    <w:multiLevelType w:val="multilevel"/>
    <w:tmpl w:val="A3A2E8C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249394415">
    <w:abstractNumId w:val="0"/>
  </w:num>
  <w:num w:numId="2" w16cid:durableId="16046113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56011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0345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39084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68885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08292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E6"/>
    <w:rsid w:val="004B42A6"/>
    <w:rsid w:val="005447AD"/>
    <w:rsid w:val="007B1B64"/>
    <w:rsid w:val="007D1EB9"/>
    <w:rsid w:val="0090350E"/>
    <w:rsid w:val="00951A76"/>
    <w:rsid w:val="00CF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465F4"/>
  <w15:docId w15:val="{FDC76780-963E-4C6C-BCAA-651E9441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EndnoteText">
    <w:name w:val="endnote text"/>
    <w:basedOn w:val="Normal"/>
    <w:link w:val="EndnoteTextChar"/>
    <w:rsid w:val="007D1EB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7D1EB9"/>
    <w:rPr>
      <w:sz w:val="20"/>
      <w:szCs w:val="20"/>
    </w:rPr>
  </w:style>
  <w:style w:type="character" w:styleId="EndnoteReference">
    <w:name w:val="endnote reference"/>
    <w:basedOn w:val="DefaultParagraphFont"/>
    <w:rsid w:val="007D1EB9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7D1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A091D-A642-4D1D-90C9-ABA304A62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436</Words>
  <Characters>2042</Characters>
  <Application>Microsoft Office Word</Application>
  <DocSecurity>0</DocSecurity>
  <Lines>51</Lines>
  <Paragraphs>39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Topology Qualifying Exam, Spring 2021</dc:title>
  <dc:creator>Paul Pollack</dc:creator>
  <cp:keywords/>
  <cp:lastModifiedBy>Paul Pollack</cp:lastModifiedBy>
  <cp:revision>3</cp:revision>
  <dcterms:created xsi:type="dcterms:W3CDTF">2026-03-28T17:18:00Z</dcterms:created>
  <dcterms:modified xsi:type="dcterms:W3CDTF">2026-03-28T17:31:00Z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